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0"/>
        <w:jc w:val="center"/>
      </w:pPr>
      <w:r>
        <w:t xml:space="preserve">Heart Disease Risk Prediction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End-to-End MLOps Pipeline: Data, Modelling, Tracking, CI/CD, Containerization, Kubernetes &amp; Monitoring</w:t>
      </w:r>
    </w:p>
    <w:p>
      <w:pPr>
        <w:spacing w:after="120"/>
        <w:jc w:val="center"/>
      </w:pPr>
      <w:r>
        <w:rPr>
          <w:sz w:val="24"/>
          <w:szCs w:val="24"/>
        </w:rPr>
        <w:t xml:space="preserve">AIMLCZG523 — MLOps, Assignment 1</w:t>
      </w:r>
    </w:p>
    <w:p>
      <w:pPr>
        <w:spacing w:after="60"/>
        <w:jc w:val="center"/>
      </w:pPr>
      <w:r>
        <w:rPr>
          <w:sz w:val="22"/>
          <w:szCs w:val="22"/>
        </w:rPr>
        <w:t xml:space="preserve">Author: Sowjanya</w:t>
      </w:r>
    </w:p>
    <w:p>
      <w:pPr>
        <w:spacing w:after="60"/>
        <w:jc w:val="center"/>
      </w:pPr>
      <w:r>
        <w:rPr>
          <w:sz w:val="22"/>
          <w:szCs w:val="22"/>
        </w:rPr>
        <w:t xml:space="preserve">Dataset: Heart Disease UCI Dataset (Cleveland subset)</w:t>
      </w:r>
    </w:p>
    <w:p>
      <w:pPr>
        <w:spacing w:after="800"/>
        <w:jc w:val="center"/>
      </w:pPr>
      <w:r>
        <w:rPr>
          <w:color w:val="555555"/>
          <w:sz w:val="22"/>
          <w:szCs w:val="22"/>
        </w:rPr>
        <w:t xml:space="preserve">Repository: https://github.com/SaiSowjanyaVadapalli/heart-disease-mlops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Problem Statement</w:t>
      </w:r>
    </w:p>
    <w:p>
      <w:pPr>
        <w:spacing w:after="140"/>
      </w:pPr>
      <w:r>
        <w:t xml:space="preserve">Build a machine learning classifier that predicts the risk of heart disease from patient clinical data, and deploy it as a cloud-ready, monitored API. This report documents the full pipeline: data acquisition, exploratory data analysis, feature engineering, model development, experiment tracking, automated testing, CI/CD, containerization, Kubernetes deployment, and monitoring.</w:t>
      </w:r>
    </w:p>
    <w:p>
      <w:pPr>
        <w:pStyle w:val="Heading1"/>
        <w:spacing w:after="160" w:before="360"/>
      </w:pPr>
      <w:r>
        <w:t xml:space="preserve">2. Setup / Install Instructions</w:t>
      </w:r>
    </w:p>
    <w:p>
      <w:pPr>
        <w:spacing w:after="140"/>
      </w:pPr>
      <w:r>
        <w:t xml:space="preserve">From a clean checkout: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git clone &lt;your-repo-url&gt;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cd heart-disease-mlops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source .venv/bin/activate   (Windows: .venv\Scripts\activate)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python scripts/download_data.py    # acquire + clean the dataset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python notebooks/01_eda.py         # EDA figures + summary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python src/train.py                # train, track with MLflow, save best model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pytest tests/ -v --cov=src         # run the test suite</w:t>
      </w:r>
    </w:p>
    <w:p>
      <w:pPr>
        <w:spacing w:after="140"/>
      </w:pPr>
      <w:r>
        <w:t xml:space="preserve">Full details, including Docker and Kubernetes commands, are in the project README.md.</w:t>
      </w:r>
    </w:p>
    <w:p>
      <w:pPr>
        <w:pStyle w:val="Heading1"/>
        <w:spacing w:after="160" w:before="360"/>
      </w:pPr>
      <w:r>
        <w:t xml:space="preserve">3. Data Acquisition</w:t>
      </w:r>
    </w:p>
    <w:p>
      <w:pPr>
        <w:spacing w:after="140"/>
      </w:pPr>
      <w:r>
        <w:t xml:space="preserve">scripts/download_data.py downloads processed.cleveland.data directly from the UCI Machine Learning Repository (archive.ics.uci.edu/static/public/45/heart+disease.zip) — the canonical source named in the assignment brief — rather than a pre-cleaned third-party mirror. The raw file has no header and uses '?' for missing values, so the script: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Assigns the 14 standard clinical column names (age, sex, cp, trestbps, chol, fbs, restecg, thalach, exang, oldpeak, slope, ca, thal, num).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Converts '?' to NaN.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Binarizes the multi-class target 'num' (0 = no disease, 1-4 = increasing severity) into a binary 'target' column (0 = no disease, 1 = disease present), as required by the assignment.</w:t>
      </w:r>
    </w:p>
    <w:p>
      <w:pPr>
        <w:spacing w:after="140"/>
      </w:pPr>
      <w:r>
        <w:t xml:space="preserve">If UCI is unreachable (e.g. a restricted CI runner), the script falls back to a mirrored copy of the same Cleveland data so the pipeline never silently breaks on a network hiccup.</w:t>
      </w:r>
    </w:p>
    <w:p>
      <w:pPr>
        <w:spacing w:after="140"/>
      </w:pPr>
      <w:r>
        <w:t xml:space="preserve">Resulting dataset: 303 patients, 14 columns (13 features + target). Missing values are limited to 'ca' (4 rows) and 'thal' (2 rows) — under 2% of the data — and are handled inside the modelling pipeline (Section 5), not by dropping rows, to preserve every observation.</w:t>
      </w:r>
    </w:p>
    <w:p>
      <w:pPr>
        <w:pStyle w:val="Heading1"/>
        <w:spacing w:after="160" w:before="360"/>
      </w:pPr>
      <w:r>
        <w:t xml:space="preserve">4. Exploratory Data Analysis</w:t>
      </w:r>
    </w:p>
    <w:p>
      <w:pPr>
        <w:spacing w:after="140"/>
      </w:pPr>
      <w:r>
        <w:t xml:space="preserve">Generated by notebooks/01_eda.py into reports/figures/.</w:t>
      </w:r>
    </w:p>
    <w:p>
      <w:pPr>
        <w:pStyle w:val="Heading2"/>
        <w:spacing w:after="120" w:before="280"/>
      </w:pPr>
      <w:r>
        <w:t xml:space="preserve">4.1 Class Balance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27432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1: Target class distribution (45.9% disease-positive, 54.1% disease-negative).</w:t>
      </w:r>
    </w:p>
    <w:p>
      <w:pPr>
        <w:spacing w:after="140"/>
      </w:pPr>
      <w:r>
        <w:t xml:space="preserve">The target is reasonably balanced, so accuracy is a meaningful metric here and no resampling (SMOTE, class weighting) was necessary.</w:t>
      </w:r>
    </w:p>
    <w:p>
      <w:pPr>
        <w:pStyle w:val="Heading2"/>
        <w:spacing w:after="120" w:before="280"/>
      </w:pPr>
      <w:r>
        <w:t xml:space="preserve">4.2 Feature Distributions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8479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2: Distributions of continuous clinical features.</w:t>
      </w:r>
    </w:p>
    <w:p>
      <w:pPr>
        <w:spacing w:after="140"/>
      </w:pPr>
      <w:r>
        <w:t xml:space="preserve">chol (cholesterol) and oldpeak (ST depression) are right-skewed with a handful of high outliers; age, trestbps, and thalach are closer to normally distributed. This informed the choice of StandardScaler over a method sensitive to extreme skew, plus median (not mean) imputation for missing numeric values, which is more robust to the outliers visible in chol.</w:t>
      </w:r>
    </w:p>
    <w:p>
      <w:pPr>
        <w:pStyle w:val="Heading2"/>
        <w:spacing w:after="120" w:before="280"/>
      </w:pPr>
      <w:r>
        <w:t xml:space="preserve">4.3 Correlations</w:t>
      </w:r>
    </w:p>
    <w:p>
      <w:pPr>
        <w:spacing w:after="120" w:before="120"/>
        <w:jc w:val="center"/>
      </w:pPr>
      <w:r>
        <w:drawing>
          <wp:inline distT="0" distB="0" distL="0" distR="0">
            <wp:extent cx="4381500" cy="35052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3: Feature correlation heatmap.</w:t>
      </w:r>
    </w:p>
    <w:p>
      <w:pPr>
        <w:spacing w:after="140"/>
      </w:pPr>
      <w:r>
        <w:t xml:space="preserve">The features most correlated with the target are thal (0.53), ca (0.46), exang (0.43), oldpeak (0.43), and thalach (0.42) — all clinically plausible indicators. No feature pair showed problematic multicollinearity (all |corr| &lt; 0.8 between predictors), so no features were dropped at this stage.</w:t>
      </w:r>
    </w:p>
    <w:p>
      <w:pPr>
        <w:pStyle w:val="Heading2"/>
        <w:spacing w:after="120" w:before="280"/>
      </w:pPr>
      <w:r>
        <w:t xml:space="preserve">4.4 Target vs. Key Clinical Features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4: Age, max heart rate, and ST depression by diagnosis.</w:t>
      </w:r>
    </w:p>
    <w:p>
      <w:pPr>
        <w:spacing w:after="140"/>
      </w:pPr>
      <w:r>
        <w:t xml:space="preserve">Patients with disease tend to be older, have a lower max heart rate (thalach), and show greater ST depression (oldpeak) under exercise — consistent with known clinical presentation.</w:t>
      </w:r>
    </w:p>
    <w:p>
      <w:pPr>
        <w:pStyle w:val="Heading2"/>
        <w:spacing w:after="120" w:before="280"/>
      </w:pPr>
      <w:r>
        <w:t xml:space="preserve">4.5 Chest Pain Type vs. Diagnosis</w:t>
      </w:r>
    </w:p>
    <w:p>
      <w:pPr>
        <w:spacing w:after="120" w:before="120"/>
        <w:jc w:val="center"/>
      </w:pPr>
      <w:r>
        <w:drawing>
          <wp:inline distT="0" distB="0" distL="0" distR="0">
            <wp:extent cx="3619500" cy="25812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5: Chest pain type vs. disease presence.</w:t>
      </w:r>
    </w:p>
    <w:p>
      <w:pPr>
        <w:spacing w:after="140"/>
      </w:pPr>
      <w:r>
        <w:t xml:space="preserve">Asymptomatic chest pain (cp = 4) is strongly associated with disease presence, while typical anginal pain (cp = 1) is more common among disease-negative patients — a counter-intuitive but well-documented clinical finding that justified keeping cp as a categorical (one-hot-encoded) rather than ordinal feature.</w:t>
      </w:r>
    </w:p>
    <w:p>
      <w:pPr>
        <w:pStyle w:val="Heading1"/>
        <w:spacing w:after="160" w:before="360"/>
      </w:pPr>
      <w:r>
        <w:t xml:space="preserve">5. Feature Engineering &amp; Model Development</w:t>
      </w:r>
    </w:p>
    <w:p>
      <w:pPr>
        <w:pStyle w:val="Heading2"/>
        <w:spacing w:after="120" w:before="280"/>
      </w:pPr>
      <w:r>
        <w:t xml:space="preserve">5.1 Feature Engineering (src/data_processing.py)</w:t>
      </w:r>
    </w:p>
    <w:p>
      <w:pPr>
        <w:spacing w:after="140"/>
      </w:pPr>
      <w:r>
        <w:t xml:space="preserve">Features are split into two groups and handled by a single ColumnTransformer (fit only on the training split, to avoid data leakage):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600"/>
      </w:tblGrid>
      <w:tr>
        <w:tc>
          <w:tcPr>
            <w:tcW w:type="dxa" w:w="24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42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  <w:tc>
          <w:tcPr>
            <w:tcW w:type="dxa" w:w="36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Treatment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Numeric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age, trestbps, chol, thalach, oldpeak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Median imputation → StandardScaler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Categorical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sex, cp, fbs, restecg, exang, slope, ca, thal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</w:rPr>
              <w:t xml:space="preserve">Mode imputation → OneHotEncoder(handle_unknown="ignore")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Wrapping this in a ColumnTransformer nested inside a Pipeline alongside the estimator means the exact fitted transformer (medians, scale factors, one-hot categories learned from training data only) is serialized together with the model — the API never needs to reconstruct feature engineering by hand, which is what makes this reproducible end-to-end.</w:t>
      </w:r>
    </w:p>
    <w:p>
      <w:pPr>
        <w:pStyle w:val="Heading2"/>
        <w:spacing w:after="120" w:before="280"/>
      </w:pPr>
      <w:r>
        <w:t xml:space="preserve">5.2 Model Selection (src/train.py)</w:t>
      </w:r>
    </w:p>
    <w:p>
      <w:pPr>
        <w:spacing w:after="140"/>
      </w:pPr>
      <w:r>
        <w:t xml:space="preserve">Two classifiers were trained and compared, as required: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Logistic Regression — a strong, interpretable linear baseline; tuned over C in {0.01, 0.1, 1.0, 10.0}.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Random Forest — a non-linear ensemble that can capture feature interactions; tuned over n_estimators in {100, 200, 400}, max_depth in {None, 4, 8}, min_samples_leaf in {1, 2, 4}.</w:t>
      </w:r>
    </w:p>
    <w:p>
      <w:pPr>
        <w:spacing w:after="140"/>
      </w:pPr>
      <w:r>
        <w:t xml:space="preserve">Both were tuned with GridSearchCV using 5-fold stratified cross-validation (preserving class balance in every fold), optimizing for ROC-AUC since it is threshold-independent and appropriate for a moderately balanced binary clinical classification task.</w:t>
      </w:r>
    </w:p>
    <w:p>
      <w:pPr>
        <w:pStyle w:val="Heading2"/>
        <w:spacing w:after="120" w:before="280"/>
      </w:pPr>
      <w:r>
        <w:t xml:space="preserve">5.3 Results (Held-Out 20% Test Split)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200"/>
        <w:gridCol w:w="1000"/>
        <w:gridCol w:w="1400"/>
      </w:tblGrid>
      <w:tr>
        <w:tc>
          <w:tcPr>
            <w:tcW w:type="dxa" w:w="22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3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CV ROC-AUC</w:t>
            </w:r>
          </w:p>
        </w:tc>
        <w:tc>
          <w:tcPr>
            <w:tcW w:type="dxa" w:w="13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Test Accuracy</w:t>
            </w:r>
          </w:p>
        </w:tc>
        <w:tc>
          <w:tcPr>
            <w:tcW w:type="dxa" w:w="13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Test Precision</w:t>
            </w:r>
          </w:p>
        </w:tc>
        <w:tc>
          <w:tcPr>
            <w:tcW w:type="dxa" w:w="12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Test Recall</w:t>
            </w:r>
          </w:p>
        </w:tc>
        <w:tc>
          <w:tcPr>
            <w:tcW w:type="dxa" w:w="10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Test F1</w:t>
            </w:r>
          </w:p>
        </w:tc>
        <w:tc>
          <w:tcPr>
            <w:tcW w:type="dxa" w:w="14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Test ROC-AUC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Logistic Regression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0.902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0.885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0.839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0.929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0.881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0.966 (best)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Random Forest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0.902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0.852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</w:rPr>
              <w:t xml:space="preserve">0.806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0.893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0.847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0.948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Logistic Regression was selected as the production model: it matched Random Forest on cross-validated ROC-AUC but generalized better to the test split (higher test ROC-AUC, accuracy, and recall), and is simpler and faster to serve. Recall was prioritized as a secondary consideration over raw accuracy, since in a clinical screening context a missed positive (false negative) is costlier than a false alarm; Logistic Regression's 92.9% recall reflects that.</w:t>
      </w:r>
    </w:p>
    <w:p>
      <w:pPr>
        <w:spacing w:after="140"/>
      </w:pPr>
      <w:r>
        <w:t xml:space="preserve">Full metrics (including best hyperparameters per model) are saved to reports/metrics.json by every training run.</w:t>
      </w:r>
    </w:p>
    <w:p>
      <w:pPr>
        <w:pStyle w:val="Heading1"/>
        <w:spacing w:after="160" w:before="360"/>
      </w:pPr>
      <w:r>
        <w:t xml:space="preserve">6. Experiment Tracking (MLflow)</w:t>
      </w:r>
    </w:p>
    <w:p>
      <w:pPr>
        <w:spacing w:after="140"/>
      </w:pPr>
      <w:r>
        <w:t xml:space="preserve">Every training run is tracked with MLflow against a local SQLite store (mlflow.db — the plain filesystem backend is deprecated in MLflow 3.x). Per run, we log: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Parameters: the winning hyperparameters from GridSearchCV.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Metrics: cross-validated ROC-AUC, and test accuracy / precision / recall / F1 / ROC-AUC.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Artifacts: confusion matrix plot, ROC curve plot, and the fitted sklearn pipeline itself (via mlflow.sklearn.log_model).</w:t>
      </w:r>
    </w:p>
    <w:p>
      <w:pPr>
        <w:spacing w:after="140"/>
      </w:pPr>
      <w:r>
        <w:t xml:space="preserve">To browse: mlflow ui --backend-store-uri sqlite:///mlflow.db, then open http://127.0.0.1:5000.</w:t>
      </w:r>
    </w:p>
    <w:p>
      <w:pPr>
        <w:pStyle w:val="Heading2"/>
        <w:spacing w:after="120" w:before="280"/>
      </w:pPr>
      <w:r>
        <w:t xml:space="preserve">6.1 Example logged artifacts — Logistic Regression run</w:t>
      </w:r>
    </w:p>
    <w:p>
      <w:pPr>
        <w:spacing w:after="120" w:before="120"/>
        <w:jc w:val="center"/>
      </w:pPr>
      <w:r>
        <w:drawing>
          <wp:inline distT="0" distB="0" distL="0" distR="0">
            <wp:extent cx="2667000" cy="26670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2667000" cy="26670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6: Confusion matrix and ROC curve logged as MLflow artifacts for the selected model.</w:t>
      </w:r>
    </w:p>
    <w:p>
      <w:pPr>
        <w:pBdr>
          <w:top w:val="single" w:color="B00020" w:sz="4"/>
          <w:left w:val="single" w:color="B00020" w:sz="4"/>
          <w:bottom w:val="single" w:color="B00020" w:sz="4"/>
          <w:right w:val="single" w:color="B00020" w:sz="4"/>
        </w:pBdr>
        <w:spacing w:after="200"/>
      </w:pPr>
      <w:r>
        <w:rPr>
          <w:i/>
          <w:iCs/>
          <w:color w:val="B00020"/>
        </w:rPr>
        <w:t xml:space="preserve">[Insert screenshot of the MLflow UI here — showing the heart-disease-risk-classification experiment with both runs, their metrics columns, and one run's artifact view]</w:t>
      </w:r>
    </w:p>
    <w:p>
      <w:pPr>
        <w:pStyle w:val="Heading1"/>
        <w:spacing w:after="160" w:before="360"/>
      </w:pPr>
      <w:r>
        <w:t xml:space="preserve">7. Model Packaging &amp; Reproducibility</w:t>
      </w:r>
    </w:p>
    <w:p>
      <w:pPr>
        <w:spacing w:after="140"/>
      </w:pPr>
      <w:r>
        <w:t xml:space="preserve">The winning pipeline (preprocessing + estimator, as one object) is persisted with joblib to models/model.pkl. Because preprocessing lives inside the same Pipeline object that was fit and evaluated, loading this single file and calling .predict() on a raw feature dict reproduces training-time behavior exactly — there is no separate "preprocessing script" that could drift out of sync with the model. requirements.txt pins every dependency to the exact version used during development, and scripts/download_data.py makes data acquisition itself scriptable and reproducible from a clean checkout.</w:t>
      </w:r>
    </w:p>
    <w:p>
      <w:pPr>
        <w:pStyle w:val="Heading1"/>
        <w:spacing w:after="160" w:before="360"/>
      </w:pPr>
      <w:r>
        <w:t xml:space="preserve">8. Automated Testing &amp; CI/CD</w:t>
      </w:r>
    </w:p>
    <w:p>
      <w:pPr>
        <w:pStyle w:val="Heading2"/>
        <w:spacing w:after="120" w:before="280"/>
      </w:pPr>
      <w:r>
        <w:t xml:space="preserve">8.1 Unit Tests (pytest, 14 tests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tests/test_data_processing.py — cleaning (duplicate removal, column selection), and the preprocessing pipeline (no NaNs survive imputation, numeric features are standardized, unseen categories at inference time don't crash the one-hot encoder). Uses synthetic in-memory data so this stage never depends on network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tests/test_model.py — pipeline wiring, training, predicted probabilities sum to 1, and save/load round-tripping produces identical predictions. Uses sklearn.datasets.make_classification for the same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tests/test_api.py — FastAPI integration tests (/health, /predict happy path, /predict with an out-of-range or missing field returns HTTP 422, /metrics is exposed). Runs against the actually-trained model.</w:t>
      </w:r>
    </w:p>
    <w:p>
      <w:pPr>
        <w:pBdr>
          <w:top w:val="single" w:color="B00020" w:sz="4"/>
          <w:left w:val="single" w:color="B00020" w:sz="4"/>
          <w:bottom w:val="single" w:color="B00020" w:sz="4"/>
          <w:right w:val="single" w:color="B00020" w:sz="4"/>
        </w:pBdr>
        <w:spacing w:after="200"/>
      </w:pPr>
      <w:r>
        <w:rPr>
          <w:i/>
          <w:iCs/>
          <w:color w:val="B00020"/>
        </w:rPr>
        <w:t xml:space="preserve">[Insert screenshot of `pytest tests/ -v` here, all 14 tests passing]</w:t>
      </w:r>
    </w:p>
    <w:p>
      <w:pPr>
        <w:pStyle w:val="Heading2"/>
        <w:spacing w:after="120" w:before="280"/>
      </w:pPr>
      <w:r>
        <w:t xml:space="preserve">8.2 CI/CD Pipeline (.github/workflows/ci.yml)</w:t>
      </w:r>
    </w:p>
    <w:p>
      <w:pPr>
        <w:spacing w:after="140"/>
      </w:pPr>
      <w:r>
        <w:t xml:space="preserve">Four sequential jobs, each gated on the previous one passing: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lint — flake8 and black --check; fails the build on any style/syntax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unit-tests — the offline pytest suite with coverage, uploaded as a workflow artifact.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train — downloads the dataset, runs EDA, trains + logs to MLflow, runs the API integration tests against the freshly trained model, and uploads models/model.pkl plus reports/ as artifacts.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docker-build-test — downloads the trained-model artifact, builds the Docker image, runs the container, polls /health with retries, and calls /predict with a sample payload — proving the model serves correctly from inside an isolated container. Container logs are dumped on any failure for debuggability.</w:t>
      </w:r>
    </w:p>
    <w:p>
      <w:pPr>
        <w:pBdr>
          <w:top w:val="single" w:color="B00020" w:sz="4"/>
          <w:left w:val="single" w:color="B00020" w:sz="4"/>
          <w:bottom w:val="single" w:color="B00020" w:sz="4"/>
          <w:right w:val="single" w:color="B00020" w:sz="4"/>
        </w:pBdr>
        <w:spacing w:after="200"/>
      </w:pPr>
      <w:r>
        <w:rPr>
          <w:i/>
          <w:iCs/>
          <w:color w:val="B00020"/>
        </w:rPr>
        <w:t xml:space="preserve">[Insert screenshot of a green GitHub Actions run here, showing all four jobs]</w:t>
      </w:r>
    </w:p>
    <w:p>
      <w:pPr>
        <w:pStyle w:val="Heading1"/>
        <w:spacing w:after="160" w:before="360"/>
      </w:pPr>
      <w:r>
        <w:t xml:space="preserve">9. Model Containerization</w:t>
      </w:r>
    </w:p>
    <w:p>
      <w:pPr>
        <w:spacing w:after="140"/>
      </w:pPr>
      <w:r>
        <w:t xml:space="preserve">Dockerfile builds a slim python:3.11-slim image that installs requirements.txt, copies src/, api/, and the trained models/ directory, runs as a non-root user, and serves the FastAPI app with uvicorn on port 8000. A HEALTHCHECK hits /health every 30s.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python src/train.py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docker build -t heart-disease-api:local .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docker run -p 8000:8000 heart-disease-api:local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curl -X POST http://localhost:8000/predict -H "Content-Type: application/json" -d @sample_request.json</w:t>
      </w:r>
    </w:p>
    <w:p>
      <w:pPr>
        <w:spacing w:after="140"/>
      </w:pPr>
      <w:r>
        <w:t xml:space="preserve">Verified response: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{"prediction": 0, "label": "no_disease", "confidence": 0.8146, "model_name": "LogisticRegression"}</w:t>
      </w:r>
    </w:p>
    <w:p>
      <w:pPr>
        <w:pBdr>
          <w:top w:val="single" w:color="B00020" w:sz="4"/>
          <w:left w:val="single" w:color="B00020" w:sz="4"/>
          <w:bottom w:val="single" w:color="B00020" w:sz="4"/>
          <w:right w:val="single" w:color="B00020" w:sz="4"/>
        </w:pBdr>
        <w:spacing w:after="200"/>
      </w:pPr>
      <w:r>
        <w:rPr>
          <w:i/>
          <w:iCs/>
          <w:color w:val="B00020"/>
        </w:rPr>
        <w:t xml:space="preserve">[Insert screenshot of `docker build` + `docker run` + the curl response here]</w:t>
      </w:r>
    </w:p>
    <w:p>
      <w:pPr>
        <w:pStyle w:val="Heading1"/>
        <w:spacing w:after="160" w:before="360"/>
      </w:pPr>
      <w:r>
        <w:t xml:space="preserve">10. Production Deployment (Kubernetes)</w:t>
      </w:r>
    </w:p>
    <w:p>
      <w:pPr>
        <w:spacing w:after="140"/>
      </w:pPr>
      <w:r>
        <w:t xml:space="preserve">Manifests in k8s/: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deployment.yaml: 2 replicas, readiness and liveness probes on /health, CPU/memory requests and limits, so Kubernetes can restart unhealthy pods and schedule resources sensibly.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service.yaml: a LoadBalancer Service, which Docker Desktop's built-in Kubernetes exposes directly on localhost, and which Minikube can expose via `minikube tunnel` or `minikube service --url`.</w:t>
      </w:r>
    </w:p>
    <w:p>
      <w:pPr>
        <w:spacing w:after="140"/>
      </w:pPr>
      <w:r>
        <w:t xml:space="preserve">Step-by-step instructions for both Docker Desktop Kubernetes and Minikube are in k8s/README.md.</w:t>
      </w:r>
    </w:p>
    <w:p>
      <w:pPr>
        <w:pBdr>
          <w:top w:val="single" w:color="B00020" w:sz="4"/>
          <w:left w:val="single" w:color="B00020" w:sz="4"/>
          <w:bottom w:val="single" w:color="B00020" w:sz="4"/>
          <w:right w:val="single" w:color="B00020" w:sz="4"/>
        </w:pBdr>
        <w:spacing w:after="200"/>
      </w:pPr>
      <w:r>
        <w:rPr>
          <w:i/>
          <w:iCs/>
          <w:color w:val="B00020"/>
        </w:rPr>
        <w:t xml:space="preserve">[Insert screenshots here: `kubectl get pods`, `kubectl get svc`, and a successful curl/Postman call against the cluster-exposed endpoint]</w:t>
      </w:r>
    </w:p>
    <w:p>
      <w:pPr>
        <w:pStyle w:val="Heading1"/>
        <w:spacing w:after="160" w:before="360"/>
      </w:pPr>
      <w:r>
        <w:t xml:space="preserve">11. Monitoring &amp;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Structured request logging: a FastAPI middleware logs every request (method, path, status code, latency) as a JSON line to both stdout (so docker logs / kubectl logs capture it) and logs/api.log; /predict calls additionally log the prediction and confidence.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Prometheus metrics: prometheus-fastapi-instrumentator exposes GET /metrics with request counts, latency histograms, and in-progress request gauges.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Dashboarding: docker-compose.yml runs the API alongside Prometheus (monitoring/prometheus.yml scrapes /metrics every 10s) and Grafana, so request-rate and latency panels can be built against the live API.</w:t>
      </w:r>
    </w:p>
    <w:p>
      <w:pPr>
        <w:pBdr>
          <w:top w:val="single" w:color="B00020" w:sz="4"/>
          <w:left w:val="single" w:color="B00020" w:sz="4"/>
          <w:bottom w:val="single" w:color="B00020" w:sz="4"/>
          <w:right w:val="single" w:color="B00020" w:sz="4"/>
        </w:pBdr>
        <w:spacing w:after="200"/>
      </w:pPr>
      <w:r>
        <w:rPr>
          <w:i/>
          <w:iCs/>
          <w:color w:val="B00020"/>
        </w:rPr>
        <w:t xml:space="preserve">[Insert screenshot of the Grafana dashboard / Prometheus targets page here]</w:t>
      </w:r>
    </w:p>
    <w:p>
      <w:pPr>
        <w:pStyle w:val="Heading1"/>
        <w:spacing w:after="160" w:before="360"/>
      </w:pPr>
      <w:r>
        <w:t xml:space="preserve">12. Architecture Diagram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97180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7: End-to-end MLOps architecture.</w:t>
      </w:r>
    </w:p>
    <w:p>
      <w:pPr>
        <w:spacing w:after="140"/>
      </w:pPr>
      <w:r>
        <w:t xml:space="preserve">Data flows left-to-right/top-to-bottom: the UCI dataset feeds EDA and the preprocessing pipeline, which feeds model training (tracked in MLflow), which produces models/model.pkl. GitHub Actions orchestrates linting, testing, training, and a Docker build/smoke test, producing the image that Kubernetes deploys behind a load-balanced Service. Prometheus scrapes the running pods' /metrics endpoint and feeds a Grafana dashboard.</w:t>
      </w:r>
    </w:p>
    <w:p>
      <w:pPr>
        <w:pStyle w:val="Heading1"/>
        <w:spacing w:after="160" w:before="360"/>
      </w:pPr>
      <w:r>
        <w:t xml:space="preserve">13. Summary &amp; Key Decisions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000"/>
            <w:shd w:fill="2A6F97" w:val="clear"/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UCI official source over pre-cleaned mirrors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Matches the assignment's named source exactly; demonstrates raw-data handling rather than inheriting it from a mirror.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ColumnTransformer inside the saved Pipeline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Eliminates train/serve skew — the API loads one artifact that does imputation, scaling, encoding, and prediction identically to training.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Logistic Regression over Random Forest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Comparable CV score, better test-set generalization and recall, simpler to serve and explain.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SQLite MLflow backend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The plain filesystem backend is in maintenance mode as of MLflow 3.x.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Offline synthetic-data unit tests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Keeps the lint -&gt; unit test CI stage fast and independent of network access or a pre-trained model.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FastAPI over Flask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Built-in request/response validation (Pydantic), automatic OpenAPI docs at /docs, and native async support.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LoadBalancer Service type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Works out-of-the-box with Docker Desktop's Kubernetes and with minikube tunnel, without needing an Ingress controller.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60" w:before="360"/>
      </w:pPr>
      <w:r>
        <w:t xml:space="preserve">14. Repository Link</w:t>
      </w:r>
    </w:p>
    <w:p>
      <w:pPr>
        <w:spacing w:after="140"/>
      </w:pPr>
      <w:r>
        <w:t xml:space="preserve">https://github.com/SaiSowjanyaVadapalli/heart-disease-mlops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ba556892316aea66a05583660d15adddea99e5c.png"/><Relationship Id="rId8" Type="http://schemas.openxmlformats.org/officeDocument/2006/relationships/image" Target="media/aad25eb02a40cf3524e39bebe36fbf60d838d9b0.png"/><Relationship Id="rId9" Type="http://schemas.openxmlformats.org/officeDocument/2006/relationships/image" Target="media/94a3522c67111703796ca38f0f445bb58d29fd36.png"/><Relationship Id="rId10" Type="http://schemas.openxmlformats.org/officeDocument/2006/relationships/image" Target="media/94e473e18bee2027cdf4db49ee1a669f0af28dbd.png"/><Relationship Id="rId11" Type="http://schemas.openxmlformats.org/officeDocument/2006/relationships/image" Target="media/8f7fb85a5094f3d968c6cbd1fe81c4f1154983a6.png"/><Relationship Id="rId12" Type="http://schemas.openxmlformats.org/officeDocument/2006/relationships/image" Target="media/2d651ee077f0157f3b6befd3c5f5951a20b1831b.png"/><Relationship Id="rId13" Type="http://schemas.openxmlformats.org/officeDocument/2006/relationships/image" Target="media/5a3ddf7786093604840a00f2bd0b9426f8b85478.png"/><Relationship Id="rId14" Type="http://schemas.openxmlformats.org/officeDocument/2006/relationships/image" Target="media/d96b77dc0a9eacd2a690d9d2a92eea05102d796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2026-10-20T17:44:44.523Z</dcterms:created>
  <dcterms:modified xsi:type="dcterms:W3CDTF">2026-10-20T17:44:44.526Z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