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8C"/>
          <w:sz w:val="40"/>
          <w:szCs w:val="40"/>
        </w:rPr>
        <w:t xml:space="preserve">Task Summary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UI Change Monitor &amp; Evidence Reporter (CUA)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Implementation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Computer-Using Agent (CUA) / UI Automation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Intern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CUA, Playwright, Python, Visual Regression, Evidence, Compliance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What I Did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a Computer-Using Agent (CUA) that autonomously monitors web UIs for visual changes and generates evidence-grade reports. The system uses Playwright to launch Microsoft Edge, navigate target URLs, capture full-page screenshots, and compare them pixel-by-pixel against stored baselines. Changed regions are highlighted in red and packaged into a self-contained HTML report with baseline, current, and diff views.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is configured via targets.yaml, supporting multiple URLs with per-target viewport settings, readiness gates (CSS selector-based), element masking for dynamic content, and retry logic for large-diff false positives. Authentication for internal SSO-protected pages is handled via a separate storage state capture script.</w:t>
      </w:r>
    </w:p>
    <w:p>
      <w:pPr>
        <w:pStyle w:val="Heading1"/>
      </w:pPr>
      <w:r>
        <w:rPr>
          <w:rFonts w:ascii="Arial" w:cs="Arial" w:eastAsia="Arial" w:hAnsi="Arial"/>
        </w:rPr>
        <w:t xml:space="preserve">Key Accomplishments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and implemented an end-to-end visual change detection pipeline from browser launch to evidence report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pixel-level diff engine with configurable threshold (Pillow-based) that overlays translucent red highlights on changed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a self-contained HTML evidence report with embedded base64 images — no external dependencies, opens in any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Implemented targets.yaml configuration system supporting multiple URLs, viewport control, masking selectors, readiness gates, and retry-on-large-diff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SSO authentication helper (save_storage.py) that captures and reuses browser state for enterprise portal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Demonstrated the system on time.is, successfully detecting clock digit changes and quantifying change percentage.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Validated that the approach works on graph/chart-heavy pages (per Siva's feedback), with a refinement path for bounding-box targeting.</w:t>
      </w:r>
    </w:p>
    <w:p>
      <w:pPr>
        <w:pStyle w:val="Heading1"/>
      </w:pPr>
      <w:r>
        <w:rPr>
          <w:rFonts w:ascii="Arial" w:cs="Arial" w:eastAsia="Arial" w:hAnsi="Arial"/>
        </w:rPr>
        <w:t xml:space="preserve">What I Learned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deepened my understanding of the Computer-Using Agent paradigm — the idea that an agent can interact with software the same way a human does, through its visual interface rather than APIs. I learned how Playwright provides programmatic control over real browsers (including enterprise-installed Edge), which is critical for corporate environments where custom browser installs aren't allowed.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technical side, I gained hands-on experience with image processing for change detection — specifically how pixel-level differencing works, why thresholding matters (a threshold too low flags anti-aliasing noise, too high misses real changes), and how to composite overlay highlights onto screenshots. I also learned how to structure a YAML-based configuration system that balances flexibility with simplicity.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an enterprise perspective, I understood why evidence-first design matters in regulated environments like Lilly — the output isn't just a pass/fail, it's a visual proof artifact that QA, compliance, and business stakeholders can review without needing to understand the code.</w:t>
      </w:r>
    </w:p>
    <w:p>
      <w:pPr>
        <w:pStyle w:val="Heading1"/>
      </w:pPr>
      <w:r>
        <w:rPr>
          <w:rFonts w:ascii="Arial" w:cs="Arial" w:eastAsia="Arial" w:hAnsi="Arial"/>
        </w:rPr>
        <w:t xml:space="preserve">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/ Approach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content (clock ticking)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threshold tuning (threshold=10) to ignore minor animation noise while catching real layout changes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size normalization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Auto-crop to minimum common dimensions before comparison to handle viewport inconsistencies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SSO authentication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save_storage.py to capture and reuse browser auth state without hardcoding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diff false positives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big_diff_threshold (65%) in targets.yaml to auto-retry when page hasn't fully loaded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Graph/chart comparison (Siva's question)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but needs refinement — agent must locate exact chart bounding box within the page for precise comparison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Files in This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edge_screenshot_diff_report.py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agent — browser launch, screenshot capture, diff computation, HTML report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save_storage.py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auth helper — captures browser storage state for reuse in headless runs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targets.yaml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— target URLs, viewport settings, masking selectors, readiness gates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 — Playwright, Pillow, PyYAML, BeautifulSoup4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metadata — package name (uimon), version, Python version constraint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demo_page_current.png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— captured screenshot of time.is (current run)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demo_page_diff.png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— diff overlay showing changed regions in 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— auto-generated HTML report with baseline/current/diff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REPORT_-_PROJECT1.pdf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report — project overview, architecture, design decisions, Lilly impact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Links &amp;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shared in GS Interns 2026 H1 Teams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 target: https://time.is/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Playwright docs: https://playwright.dev/python/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Pillow (PIL) docs: https://pillow.readthedocs.io/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CUA concept: Computer-Using Agents — agents that perceive and act through GUIs</w:t>
      </w:r>
    </w:p>
    <w:p>
      <w:pPr>
        <w:pStyle w:val="Heading1"/>
      </w:pPr>
      <w:r>
        <w:rPr>
          <w:rFonts w:ascii="Arial" w:cs="Arial" w:eastAsia="Arial" w:hAnsi="Arial"/>
        </w:rPr>
        <w:t xml:space="preserve">Notes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Refine graph/chart comparison — implement bounding-box detection to isolate specific visual components before diffing.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DOM-level change capture alongside screenshots for richer evidence (structural +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 scheduled/CI-triggered runs for continuous monitoring of internal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masking system to support regex-based selectors and dynamic content zones.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Investigate multi-page flows — agent navigates through a sequence of pages, capturing evidence at each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Consider adding configurable alerting (email/Teams notification) when change percentage exceeds a threshold.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Potential integration with Lilly's CI/CD pipeline for pre-release visual regression checks.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2026-02-15T07:15:06.193Z</dcterms:created>
  <dcterms:modified xsi:type="dcterms:W3CDTF">2026-02-15T07:15:06.194Z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