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Quarterly Infrastructure Report</w:t>
      </w:r>
    </w:p>
    <w:p>
      <w:pPr>
        <w:spacing w:after="160"/>
      </w:pPr>
      <w:r>
        <w:t xml:space="preserve">This report summarizes platform capacity, notable changes, and planned work for the third quarter. It is intended for the infrastructure team and their partners in product engineering.</w:t>
      </w:r>
    </w:p>
    <w:p>
      <w:pPr>
        <w:pStyle w:val="Heading2"/>
        <w:spacing w:after="140" w:before="280"/>
      </w:pPr>
      <w:r>
        <w:t xml:space="preserve">Overview</w:t>
      </w:r>
    </w:p>
    <w:p>
      <w:pPr>
        <w:spacing w:after="160"/>
      </w:pPr>
      <w:r>
        <w:t xml:space="preserve">Total cluster capacity grew by 18 percent this quarter, driven mainly by the expansion of the eu-central-1 region. Request volume grew faster, at 26 percent, so average utilization rose despite the added hardware.</w:t>
      </w:r>
    </w:p>
    <w:p>
      <w:pPr>
        <w:spacing w:after="160"/>
      </w:pPr>
      <w:r>
        <w:t xml:space="preserve">No customer-visible outages were recorded. Two internal incidents were raised, both resolved within the same working day, and neither breached the error budget.</w:t>
      </w:r>
    </w:p>
    <w:p>
      <w:pPr>
        <w:pStyle w:val="Heading3"/>
        <w:spacing w:after="140" w:before="280"/>
      </w:pPr>
      <w:r>
        <w:t xml:space="preserve">Scope</w:t>
      </w:r>
    </w:p>
    <w:p>
      <w:pPr>
        <w:spacing w:after="160"/>
      </w:pPr>
      <w:r>
        <w:t xml:space="preserve">The figures below cover managed compute only. Object storage, the data warehouse, and third-party services are reported separately and are out of scope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Managed compute across all four production regions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Scheduled batch workloads running on shared nodes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 staging clusters, excluding developer sandboxes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Reserved capacity held for failover</w:t>
      </w:r>
    </w:p>
    <w:p>
      <w:pPr>
        <w:pStyle w:val="Heading2"/>
        <w:spacing w:after="140" w:before="280"/>
      </w:pPr>
      <w:r>
        <w:t xml:space="preserve">Capacity by Region</w:t>
      </w:r>
    </w:p>
    <w:p>
      <w:pPr>
        <w:spacing w:after="160"/>
      </w:pPr>
      <w:r>
        <w:t xml:space="preserve">The table below shows node counts and average utilization for the final week of the quarter. Utilization is measured as mean CPU allocation during business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rPr>
          <w:tblHeader/>
        </w:trPr>
        <w:tc>
          <w:tcPr>
            <w:tcW w:type="dxa" w:w="2800"/>
            <w:shd w:fill="E7E9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1600"/>
            <w:shd w:fill="E7E9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Nodes</w:t>
            </w:r>
          </w:p>
        </w:tc>
        <w:tc>
          <w:tcPr>
            <w:tcW w:type="dxa" w:w="2400"/>
            <w:shd w:fill="E7E9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Utilization</w:t>
            </w:r>
          </w:p>
        </w:tc>
        <w:tc>
          <w:tcPr>
            <w:tcW w:type="dxa" w:w="2560"/>
            <w:shd w:fill="E7E9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us-east-1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72%</w:t>
            </w:r>
          </w:p>
        </w:tc>
        <w:tc>
          <w:tcPr>
            <w:tcW w:type="dxa" w:w="25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Healthy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us-west-2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64%</w:t>
            </w:r>
          </w:p>
        </w:tc>
        <w:tc>
          <w:tcPr>
            <w:tcW w:type="dxa" w:w="25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Healthy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eu-central-1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88%</w:t>
            </w:r>
          </w:p>
        </w:tc>
        <w:tc>
          <w:tcPr>
            <w:tcW w:type="dxa" w:w="25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At capacity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ap-south-1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41%</w:t>
            </w:r>
          </w:p>
        </w:tc>
        <w:tc>
          <w:tcPr>
            <w:tcW w:type="dxa" w:w="25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Underused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t xml:space="preserve">Next Steps</w:t>
      </w:r>
    </w:p>
    <w:p>
      <w:pPr>
        <w:spacing w:after="160"/>
      </w:pPr>
      <w:r>
        <w:t xml:space="preserve">Three actions are proposed for the coming quarter, in priority order.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twelve nodes to eu-central-1 before the end of month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Migrate batch workloads off ap-south-1 and consolidate them in us-west-2.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reserved failover capacity, which has not been exercised in three quarters.</w:t>
      </w:r>
    </w:p>
    <w:p>
      <w:pPr>
        <w:spacing w:after="160"/>
      </w:pPr>
      <w:r>
        <w:t xml:space="preserve">Questions and corrections should go to the platform team. A detailed cost breakdown is available on request.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Infrastructure Report</dc:title>
  <dc:creator>document_intelligence benchmarks</dc:creator>
  <dc:description>Benchmark fixture: title, headings, paragraphs, lists, table.</dc:description>
  <cp:lastModifiedBy>Un-named</cp:lastModifiedBy>
  <cp:revision>1</cp:revision>
  <dcterms:created xsi:type="dcterms:W3CDTF">2026-09-04T07:46:26.855Z</dcterms:created>
  <dcterms:modified xsi:type="dcterms:W3CDTF">2026-09-04T07:46:26.855Z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