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00"/>
      </w:pPr>
      <w:r>
        <w:rPr>
          <w:rFonts w:ascii="Aptos" w:hAnsi="Aptos"/>
          <w:b/>
          <w:color w:val="17365D"/>
          <w:sz w:val="36"/>
        </w:rPr>
        <w:t xml:space="preserve">Specula Project Administrative Summary</w:t>
      </w:r>
    </w:p>
    <w:p>
      <w:pPr>
        <w:spacing w:after="220"/>
      </w:pPr>
      <w:r>
        <w:rPr>
          <w:rFonts w:ascii="Aptos" w:hAnsi="Aptos"/>
          <w:color w:val="526D89"/>
          <w:sz w:val="21"/>
        </w:rPr>
        <w:t xml:space="preserve">Purpose, architecture, delivery status, operations, and management actions</w:t>
      </w:r>
    </w:p>
    <w:p>
      <w:pPr>
        <w:spacing w:after="120"/>
        <w:jc w:val="both"/>
      </w:pPr>
      <w:r>
        <w:rPr>
          <w:rFonts w:ascii="Aptos" w:hAnsi="Aptos"/>
        </w:rPr>
        <w:t xml:space="preserve">Project snapshot reviewed 6 October 2026. This document summarizes Specula as recorded in repository documentation. It is intended as an administrative overview for project planning and handoff, not an independent production-readiness audit.</w:t>
      </w:r>
    </w:p>
    <w:p>
      <w:pPr>
        <w:pStyle w:val="Heading1"/>
        <w:keepNext/>
        <w:spacing w:before="240" w:after="100"/>
      </w:pPr>
      <w:r>
        <w:rPr>
          <w:rFonts w:ascii="Aptos" w:hAnsi="Aptos"/>
          <w:b/>
          <w:color w:val="17365D"/>
          <w:sz w:val="26"/>
        </w:rPr>
        <w:t xml:space="preserve">Executive overview</w:t>
      </w:r>
    </w:p>
    <w:p>
      <w:pPr>
        <w:spacing w:after="120"/>
        <w:jc w:val="both"/>
      </w:pPr>
      <w:r>
        <w:rPr>
          <w:rFonts w:ascii="Aptos" w:hAnsi="Aptos"/>
        </w:rPr>
        <w:t xml:space="preserve">Specula is an asynchronous, event-driven digital forensics and incident response platform. Its intended workflow accepts endpoint, network, cloud, and file-system evidence; preserves originals; normalizes usable fields into OCSF-shaped events; associates events with cases and hosts; stores relationships and searchable evidence; and coordinates specialist agents to produce evidence-grounded findings for investigator review.</w:t>
      </w:r>
    </w:p>
    <w:p>
      <w:pPr>
        <w:spacing w:after="120"/>
        <w:jc w:val="both"/>
      </w:pPr>
      <w:r>
        <w:rPr>
          <w:rFonts w:ascii="Aptos" w:hAnsi="Aptos"/>
        </w:rPr>
        <w:t xml:space="preserve">The system combines Python and FastAPI, LangGraph, Kafka, Redis, Quickwit, Neo4j, vector retrieval, and a React visualization dashboard. Design priorities include chain of custody, deterministic identifiers, case and host isolation, bounded agent loops, human approval gates, and evidence references in findings.</w:t>
      </w:r>
    </w:p>
    <w:p>
      <w:pPr>
        <w:spacing w:after="120"/>
        <w:jc w:val="both"/>
      </w:pPr>
      <w:r>
        <w:rPr>
          <w:rFonts w:ascii="Aptos" w:hAnsi="Aptos"/>
        </w:rPr>
        <w:t xml:space="preserve">The tracker records all listed Phase 1?5 work as passing and no active tasks. Its active phase still says Phase 4, and multiple tasks share identifier TASK-4.8. The project is at a transition point: reconcile tracking, define the next operational objective, and establish executable acceptance criteria before new work.</w:t>
      </w:r>
    </w:p>
    <w:p>
      <w:pPr>
        <w:pStyle w:val="Heading1"/>
        <w:keepNext/>
        <w:spacing w:before="240" w:after="100"/>
      </w:pPr>
      <w:r>
        <w:rPr>
          <w:rFonts w:ascii="Aptos" w:hAnsi="Aptos"/>
          <w:b/>
          <w:color w:val="17365D"/>
          <w:sz w:val="26"/>
        </w:rPr>
        <w:t xml:space="preserve">Project identity and scope</w:t>
      </w:r>
    </w:p>
    <w:p>
      <w:pPr>
        <w:spacing w:after="80"/>
      </w:pPr>
      <w:r>
        <w:rPr>
          <w:rFonts w:ascii="Aptos" w:hAnsi="Aptos"/>
          <w:b/>
          <w:color w:val="17365D"/>
        </w:rPr>
        <w:t xml:space="preserve">Project name: </w:t>
      </w:r>
      <w:r>
        <w:rPr>
          <w:rFonts w:ascii="Aptos" w:hAnsi="Aptos"/>
        </w:rPr>
        <w:t xml:space="preserve">Specula Multi-Agent DFIR System Development</w:t>
      </w:r>
    </w:p>
    <w:p>
      <w:pPr>
        <w:spacing w:after="80"/>
      </w:pPr>
      <w:r>
        <w:rPr>
          <w:rFonts w:ascii="Aptos" w:hAnsi="Aptos"/>
          <w:b/>
          <w:color w:val="17365D"/>
        </w:rPr>
        <w:t xml:space="preserve">Goal: </w:t>
      </w:r>
      <w:r>
        <w:rPr>
          <w:rFonts w:ascii="Aptos" w:hAnsi="Aptos"/>
        </w:rPr>
        <w:t xml:space="preserve">Build an asynchronous, event-driven multi-agent digital forensics platform using LangGraph, Neo4j, Kafka, and FastAPI.</w:t>
      </w:r>
    </w:p>
    <w:p>
      <w:pPr>
        <w:spacing w:after="80"/>
      </w:pPr>
      <w:r>
        <w:rPr>
          <w:rFonts w:ascii="Aptos" w:hAnsi="Aptos"/>
          <w:b/>
          <w:color w:val="17365D"/>
        </w:rPr>
        <w:t xml:space="preserve">Primary users: </w:t>
      </w:r>
      <w:r>
        <w:rPr>
          <w:rFonts w:ascii="Aptos" w:hAnsi="Aptos"/>
        </w:rPr>
        <w:t xml:space="preserve">DFIR investigators, developers, and operators.</w:t>
      </w:r>
    </w:p>
    <w:p>
      <w:pPr>
        <w:spacing w:after="80"/>
      </w:pPr>
      <w:r>
        <w:rPr>
          <w:rFonts w:ascii="Aptos" w:hAnsi="Aptos"/>
          <w:b/>
          <w:color w:val="17365D"/>
        </w:rPr>
        <w:t xml:space="preserve">Intended outcome: </w:t>
      </w:r>
      <w:r>
        <w:rPr>
          <w:rFonts w:ascii="Aptos" w:hAnsi="Aptos"/>
        </w:rPr>
        <w:t xml:space="preserve">Case-scoped evidence and transparent, evidence-linked analysis investigators can inspect.</w:t>
      </w:r>
    </w:p>
    <w:p>
      <w:pPr>
        <w:spacing w:after="120"/>
        <w:jc w:val="both"/>
      </w:pPr>
      <w:r>
        <w:rPr>
          <w:rFonts w:ascii="Aptos" w:hAnsi="Aptos"/>
        </w:rPr>
        <w:t xml:space="preserve">Documented scope spans ingestion, preservation, normalization, streaming, graph and vector retrieval, multi-agent orchestration, human-in-the-loop control, threat attribution, and live visualization.</w:t>
      </w:r>
    </w:p>
    <w:p>
      <w:pPr>
        <w:pStyle w:val="Heading1"/>
        <w:keepNext/>
        <w:spacing w:before="240" w:after="100"/>
      </w:pPr>
      <w:r>
        <w:rPr>
          <w:rFonts w:ascii="Aptos" w:hAnsi="Aptos"/>
          <w:b/>
          <w:color w:val="17365D"/>
          <w:sz w:val="26"/>
        </w:rPr>
        <w:t xml:space="preserve">System architecture</w:t>
      </w:r>
    </w:p>
    <w:p>
      <w:pPr>
        <w:keepNext/>
        <w:spacing w:before="150" w:after="70"/>
      </w:pPr>
      <w:r>
        <w:rPr>
          <w:rFonts w:ascii="Aptos" w:hAnsi="Aptos"/>
          <w:b/>
          <w:color w:val="365F91"/>
          <w:sz w:val="23"/>
        </w:rPr>
        <w:t xml:space="preserve">Evidence ingestion and preservation</w:t>
      </w:r>
    </w:p>
    <w:p>
      <w:pPr>
        <w:spacing w:after="120"/>
        <w:jc w:val="both"/>
      </w:pPr>
      <w:r>
        <w:rPr>
          <w:rFonts w:ascii="Aptos" w:hAnsi="Aptos"/>
        </w:rPr>
        <w:t xml:space="preserve">The README describes an eight-stage workflow: (1) SHA-256/VCT preservation in Quickwit; (2) sanitation and prompt-injection screening; (3) timestamp normalization while retaining originals; (4) OCSF normalization; (5) schema validation and serialization; (6) case tagging and host partitioning through Redis and Kafka; (7) analytical abstraction and deduplication; and (8) graph and vector indexing.</w:t>
      </w:r>
    </w:p>
    <w:p>
      <w:pPr>
        <w:spacing w:after="120"/>
        <w:jc w:val="both"/>
      </w:pPr>
      <w:r>
        <w:rPr>
          <w:rFonts w:ascii="Aptos" w:hAnsi="Aptos"/>
        </w:rPr>
        <w:t xml:space="preserve">Documented inputs include local operating-system channels and samples, Zeek JSONL, Suricata EVE JSON, PCAP, and direct syslog over TCP or UDP. Network file mode supports DHCP lease mapping to canonical host IDs. Follow mode stores byte offsets and handles incomplete lines, truncation, and replacement. Syslog records preserve sender and message information.</w:t>
      </w:r>
    </w:p>
    <w:p>
      <w:pPr>
        <w:keepNext/>
        <w:spacing w:before="150" w:after="70"/>
      </w:pPr>
      <w:r>
        <w:rPr>
          <w:rFonts w:ascii="Aptos" w:hAnsi="Aptos"/>
          <w:b/>
          <w:color w:val="365F91"/>
          <w:sz w:val="23"/>
        </w:rPr>
        <w:t xml:space="preserve">Data contracts and storage</w:t>
      </w:r>
    </w:p>
    <w:p>
      <w:pPr>
        <w:ind w:left="360" w:hanging="180"/>
        <w:spacing w:after="65"/>
      </w:pPr>
      <w:r>
        <w:rPr>
          <w:rFonts w:ascii="Aptos" w:hAnsi="Aptos"/>
        </w:rPr>
        <w:t xml:space="preserve">?  Pydantic models represent OCSF/OSSEM-aligned events. Deterministic UIDs are required before graph writes.</w:t>
      </w:r>
    </w:p>
    <w:p>
      <w:pPr>
        <w:ind w:left="360" w:hanging="180"/>
        <w:spacing w:after="65"/>
      </w:pPr>
      <w:r>
        <w:rPr>
          <w:rFonts w:ascii="Aptos" w:hAnsi="Aptos"/>
        </w:rPr>
        <w:t xml:space="preserve">?  Quickwit stores append-oriented raw evidence; SHA-256 and VCT structures support integrity checks.</w:t>
      </w:r>
    </w:p>
    <w:p>
      <w:pPr>
        <w:ind w:left="360" w:hanging="180"/>
        <w:spacing w:after="65"/>
      </w:pPr>
      <w:r>
        <w:rPr>
          <w:rFonts w:ascii="Aptos" w:hAnsi="Aptos"/>
        </w:rPr>
        <w:t xml:space="preserve">?  Kafka carries normalized events and findings; case and host identifiers support routing and partitioning.</w:t>
      </w:r>
    </w:p>
    <w:p>
      <w:pPr>
        <w:ind w:left="360" w:hanging="180"/>
        <w:spacing w:after="65"/>
      </w:pPr>
      <w:r>
        <w:rPr>
          <w:rFonts w:ascii="Aptos" w:hAnsi="Aptos"/>
        </w:rPr>
        <w:t xml:space="preserve">?  Neo4j is the Digital Forensic Knowledge Graph (DFKG), with parameterized Cypher and explicit MERGE keys.</w:t>
      </w:r>
    </w:p>
    <w:p>
      <w:pPr>
        <w:ind w:left="360" w:hanging="180"/>
        <w:spacing w:after="65"/>
      </w:pPr>
      <w:r>
        <w:rPr>
          <w:rFonts w:ascii="Aptos" w:hAnsi="Aptos"/>
        </w:rPr>
        <w:t xml:space="preserve">?  Redis supports active-case state, checkpoints, and debate-loop offloading.</w:t>
      </w:r>
    </w:p>
    <w:p>
      <w:pPr>
        <w:ind w:left="360" w:hanging="180"/>
        <w:spacing w:after="65"/>
      </w:pPr>
      <w:r>
        <w:rPr>
          <w:rFonts w:ascii="Aptos" w:hAnsi="Aptos"/>
        </w:rPr>
        <w:t xml:space="preserve">?  Vector-store documentation differs: README describes Qdrant, whereas docker-compose.yml declares ChromaDB and task records mention ChromaDB/InMemory adapters. Reconcile before deployment.</w:t>
      </w:r>
    </w:p>
    <w:p>
      <w:pPr>
        <w:keepNext/>
        <w:spacing w:before="150" w:after="70"/>
      </w:pPr>
      <w:r>
        <w:rPr>
          <w:rFonts w:ascii="Aptos" w:hAnsi="Aptos"/>
          <w:b/>
          <w:color w:val="365F91"/>
          <w:sz w:val="23"/>
        </w:rPr>
        <w:t xml:space="preserve">Agent orchestration and investigation</w:t>
      </w:r>
    </w:p>
    <w:p>
      <w:pPr>
        <w:spacing w:after="120"/>
        <w:jc w:val="both"/>
      </w:pPr>
      <w:r>
        <w:rPr>
          <w:rFonts w:ascii="Aptos" w:hAnsi="Aptos"/>
        </w:rPr>
        <w:t xml:space="preserve">LangGraph StateGraph coordinates the supervisor and specialist nodes. State includes append-only findings, debate history, and agent traces. The design uses fan-out, conditional routing, bounded loops, and a blackboard model: workers access shared evidence through graph and stream stores rather than passing large evidence payloads between prompts.</w:t>
      </w:r>
    </w:p>
    <w:p>
      <w:pPr>
        <w:spacing w:after="120"/>
        <w:jc w:val="both"/>
      </w:pPr>
      <w:r>
        <w:rPr>
          <w:rFonts w:ascii="Aptos" w:hAnsi="Aptos"/>
        </w:rPr>
        <w:t xml:space="preserve">The tracker records guardrails, HITL interrupt/resume, a 23-node graph, evidence collection, log analysis, network forensics, supervisor routing, and a Dynamic Attack Graph node. Network forensics targets evidence-grounded C2, DNS tunneling, lateral movement, and exfiltration. Threat Attribution validates ATT&amp;CK IDs, ranks candidate groups deterministically using Jaccard and Smith?Waterman scoring, returns confidence bounds, and uses a model for explanatory narrative.</w:t>
      </w:r>
    </w:p>
    <w:p>
      <w:pPr>
        <w:keepNext/>
        <w:spacing w:before="150" w:after="70"/>
      </w:pPr>
      <w:r>
        <w:rPr>
          <w:rFonts w:ascii="Aptos" w:hAnsi="Aptos"/>
          <w:b/>
          <w:color w:val="365F91"/>
          <w:sz w:val="23"/>
        </w:rPr>
        <w:t xml:space="preserve">Visualization and APIs</w:t>
      </w:r>
    </w:p>
    <w:p>
      <w:pPr>
        <w:spacing w:after="120"/>
        <w:jc w:val="both"/>
      </w:pPr>
      <w:r>
        <w:rPr>
          <w:rFonts w:ascii="Aptos" w:hAnsi="Aptos"/>
        </w:rPr>
        <w:t xml:space="preserve">The React/Vite frontend uses React Flow and has multi-page startup, investigation, and database views. FastAPI services provide HITL endpoints and a visualizer API. The visualizer API is documented on port 8300 and streams graph events over WebSocket; the frontend development server is normally on port 5173.</w:t>
      </w:r>
    </w:p>
    <w:p>
      <w:pPr>
        <w:pStyle w:val="Heading1"/>
        <w:keepNext/>
        <w:spacing w:before="240" w:after="100"/>
      </w:pPr>
      <w:r>
        <w:rPr>
          <w:rFonts w:ascii="Aptos" w:hAnsi="Aptos"/>
          <w:b/>
          <w:color w:val="17365D"/>
          <w:sz w:val="26"/>
        </w:rPr>
        <w:t xml:space="preserve">Accepted architectural decisions</w:t>
      </w:r>
    </w:p>
    <w:p>
      <w:pPr>
        <w:ind w:left="360" w:hanging="180"/>
        <w:spacing w:after="65"/>
      </w:pPr>
      <w:r>
        <w:rPr>
          <w:rFonts w:ascii="Aptos" w:hAnsi="Aptos"/>
        </w:rPr>
        <w:t xml:space="preserve">?  ADR-001 ? Blackboard coordination with supervisor governance: specialists share case evidence through Neo4j/Kafka; the LangGraph supervisor routes work, approval gates, debate, and reporting.</w:t>
      </w:r>
    </w:p>
    <w:p>
      <w:pPr>
        <w:ind w:left="360" w:hanging="180"/>
        <w:spacing w:after="65"/>
      </w:pPr>
      <w:r>
        <w:rPr>
          <w:rFonts w:ascii="Aptos" w:hAnsi="Aptos"/>
        </w:rPr>
        <w:t xml:space="preserve">?  ADR-002 ? Separate preservation and analysis streams: preserve original evidence while transforming analytical representations for efficient investigation.</w:t>
      </w:r>
    </w:p>
    <w:p>
      <w:pPr>
        <w:ind w:left="360" w:hanging="180"/>
        <w:spacing w:after="65"/>
      </w:pPr>
      <w:r>
        <w:rPr>
          <w:rFonts w:ascii="Aptos" w:hAnsi="Aptos"/>
        </w:rPr>
        <w:t xml:space="preserve">?  ADR-003 ? Heterogeneous model assignments by role (supervisor/judge, log, network, malware/stylometry, and reporting); actual endpoint availability is environment-specific.</w:t>
      </w:r>
    </w:p>
    <w:p>
      <w:pPr>
        <w:ind w:left="360" w:hanging="180"/>
        <w:spacing w:after="65"/>
      </w:pPr>
      <w:r>
        <w:rPr>
          <w:rFonts w:ascii="Aptos" w:hAnsi="Aptos"/>
        </w:rPr>
        <w:t xml:space="preserve">?  ADR-004 ? Three-tier VCT provenance: event hashes, session Merkle roots, and a case anchor/signature. The ADR describes certificate signing and Hyperledger Fabric anchoring as target architecture.</w:t>
      </w:r>
    </w:p>
    <w:p>
      <w:pPr>
        <w:ind w:left="360" w:hanging="180"/>
        <w:spacing w:after="65"/>
      </w:pPr>
      <w:r>
        <w:rPr>
          <w:rFonts w:ascii="Aptos" w:hAnsi="Aptos"/>
        </w:rPr>
        <w:t xml:space="preserve">?  ADR-005 ? ACH adversarial review: proponent, critic, and judge; maximum three rounds, early stop, evidence UID requirements, and Redis offloading.</w:t>
      </w:r>
    </w:p>
    <w:p>
      <w:pPr>
        <w:ind w:left="360" w:hanging="180"/>
        <w:spacing w:after="65"/>
      </w:pPr>
      <w:r>
        <w:rPr>
          <w:rFonts w:ascii="Aptos" w:hAnsi="Aptos"/>
        </w:rPr>
        <w:t xml:space="preserve">?  ADR-006 ? Negative-log attack-graph weighting of risk values enables shortest-path algorithms to find high-probability compromise paths.</w:t>
      </w:r>
    </w:p>
    <w:p>
      <w:pPr>
        <w:ind w:left="360" w:hanging="180"/>
        <w:spacing w:after="65"/>
      </w:pPr>
      <w:r>
        <w:rPr>
          <w:rFonts w:ascii="Aptos" w:hAnsi="Aptos"/>
        </w:rPr>
        <w:t xml:space="preserve">?  ADR-007 ? MCP is a deployment/gateway layer; core parsing, graph, and cryptographic logic stay in Python modules.</w:t>
      </w:r>
    </w:p>
    <w:p>
      <w:pPr>
        <w:ind w:left="360" w:hanging="180"/>
        <w:spacing w:after="65"/>
      </w:pPr>
      <w:r>
        <w:rPr>
          <w:rFonts w:ascii="Aptos" w:hAnsi="Aptos"/>
        </w:rPr>
        <w:t xml:space="preserve">?  ADR-008 ? PCAP bytes are preserved first, then dissected and sanitized/normalized.</w:t>
      </w:r>
    </w:p>
    <w:p>
      <w:pPr>
        <w:pStyle w:val="Heading1"/>
        <w:keepNext/>
        <w:spacing w:before="240" w:after="100"/>
      </w:pPr>
      <w:r>
        <w:rPr>
          <w:rFonts w:ascii="Aptos" w:hAnsi="Aptos"/>
          <w:b/>
          <w:color w:val="17365D"/>
          <w:sz w:val="26"/>
        </w:rPr>
        <w:t xml:space="preserve">Delivery status and roadmap</w:t>
      </w:r>
    </w:p>
    <w:p>
      <w:pPr>
        <w:spacing w:after="120"/>
        <w:jc w:val="both"/>
      </w:pPr>
      <w:r>
        <w:rPr>
          <w:rFonts w:ascii="Aptos" w:hAnsi="Aptos"/>
        </w:rPr>
        <w:t xml:space="preserve">PROGRESS.md was last updated 3 October 2026. It declares zero active tasks under a WIP limit of two. All task entries in Phases 1?5 are marked passing. The execution log records focused results, including 70 passed for network-agent work and a passing focused Threat Attribution run. These are tracker records; no tests were run for this administrative summary.</w:t>
      </w:r>
    </w:p>
    <w:p>
      <w:pPr>
        <w:ind w:left="360" w:hanging="180"/>
        <w:spacing w:after="65"/>
      </w:pPr>
      <w:r>
        <w:rPr>
          <w:rFonts w:ascii="Aptos" w:hAnsi="Aptos"/>
        </w:rPr>
        <w:t xml:space="preserve">?  Phase 1 ? Local sandbox and schemas: Compose baseline, OCSF/OSSEM schemas, synthetic telemetry.</w:t>
      </w:r>
    </w:p>
    <w:p>
      <w:pPr>
        <w:ind w:left="360" w:hanging="180"/>
        <w:spacing w:after="65"/>
      </w:pPr>
      <w:r>
        <w:rPr>
          <w:rFonts w:ascii="Aptos" w:hAnsi="Aptos"/>
        </w:rPr>
        <w:t xml:space="preserve">?  Phase 2 ? Preservation and VCT: SHA-256 hashing, Merkle roots, append-only Quickwit handling.</w:t>
      </w:r>
    </w:p>
    <w:p>
      <w:pPr>
        <w:ind w:left="360" w:hanging="180"/>
        <w:spacing w:after="65"/>
      </w:pPr>
      <w:r>
        <w:rPr>
          <w:rFonts w:ascii="Aptos" w:hAnsi="Aptos"/>
        </w:rPr>
        <w:t xml:space="preserve">?  Phase 3 ? Graph streaming, ingestion, and retrieval: Kafka/Redis routing, parameterized Neo4j writes, normalization, vector retrieval, ATT&amp;CK/NVD corpus, network file ingestion, follow mode, and syslog.</w:t>
      </w:r>
    </w:p>
    <w:p>
      <w:pPr>
        <w:ind w:left="360" w:hanging="180"/>
        <w:spacing w:after="65"/>
      </w:pPr>
      <w:r>
        <w:rPr>
          <w:rFonts w:ascii="Aptos" w:hAnsi="Aptos"/>
        </w:rPr>
        <w:t xml:space="preserve">?  Phase 4 ? Orchestration and agents: state/reducers, 16 ReAct stubs, guardrails, HITL, 23-node graph, evidence collection, supervisor/specialist integration, network forensics, architecture-v4 alignment, and threat attribution.</w:t>
      </w:r>
    </w:p>
    <w:p>
      <w:pPr>
        <w:ind w:left="360" w:hanging="180"/>
        <w:spacing w:after="65"/>
      </w:pPr>
      <w:r>
        <w:rPr>
          <w:rFonts w:ascii="Aptos" w:hAnsi="Aptos"/>
        </w:rPr>
        <w:t xml:space="preserve">?  Phase 5 ? Visualization: API/WebSocket, React dashboard, backend integration, datastore views, and multi-page layout.</w:t>
      </w:r>
    </w:p>
    <w:p>
      <w:pPr>
        <w:spacing w:after="120"/>
        <w:jc w:val="both"/>
      </w:pPr>
      <w:r>
        <w:rPr>
          <w:rFonts w:ascii="Aptos" w:hAnsi="Aptos"/>
        </w:rPr>
        <w:t xml:space="preserve">Tracker hygiene issue: at least three distinct registry entries use TASK-4.8 (agent wiring, deterministic network forensics, architecture-v4 alignment). TASK-4.7 appears after TASK-4.8. Renumber or cross-reference entries while preserving verification history.</w:t>
      </w:r>
    </w:p>
    <w:p>
      <w:pPr>
        <w:pStyle w:val="Heading1"/>
        <w:keepNext/>
        <w:spacing w:before="240" w:after="100"/>
      </w:pPr>
      <w:r>
        <w:rPr>
          <w:rFonts w:ascii="Aptos" w:hAnsi="Aptos"/>
          <w:b/>
          <w:color w:val="17365D"/>
          <w:sz w:val="26"/>
        </w:rPr>
        <w:t xml:space="preserve">Operational setup</w:t>
      </w:r>
    </w:p>
    <w:p>
      <w:pPr>
        <w:keepNext/>
        <w:spacing w:before="150" w:after="70"/>
      </w:pPr>
      <w:r>
        <w:rPr>
          <w:rFonts w:ascii="Aptos" w:hAnsi="Aptos"/>
          <w:b/>
          <w:color w:val="365F91"/>
          <w:sz w:val="23"/>
        </w:rPr>
        <w:t xml:space="preserve">Prerequisites and startup</w:t>
      </w:r>
    </w:p>
    <w:p>
      <w:pPr>
        <w:ind w:left="360" w:hanging="180"/>
        <w:spacing w:after="65"/>
      </w:pPr>
      <w:r>
        <w:rPr>
          <w:rFonts w:ascii="Aptos" w:hAnsi="Aptos"/>
        </w:rPr>
        <w:t xml:space="preserve">?  Python 3.10+, Docker with Compose, and Node.js/npm for the dashboard.</w:t>
      </w:r>
    </w:p>
    <w:p>
      <w:pPr>
        <w:ind w:left="360" w:hanging="180"/>
        <w:spacing w:after="65"/>
      </w:pPr>
      <w:r>
        <w:rPr>
          <w:rFonts w:ascii="Aptos" w:hAnsi="Aptos"/>
        </w:rPr>
        <w:t xml:space="preserve">?  Python dependencies are declared in requirements.txt. README instructs developers to activate venv, install requirements, and optionally build the threat-intelligence index.</w:t>
      </w:r>
    </w:p>
    <w:p>
      <w:pPr>
        <w:spacing w:before="40" w:after="70"/>
        <w:ind w:left="240"/>
      </w:pPr>
      <w:r>
        <w:rPr>
          <w:rFonts w:ascii="Consolas" w:hAnsi="Consolas"/>
          <w:color w:val="333333"/>
          <w:sz w:val="19"/>
        </w:rPr>
        <w:t xml:space="preserve">docker compose up -d</w:t>
      </w:r>
    </w:p>
    <w:p>
      <w:pPr>
        <w:spacing w:after="120"/>
        <w:jc w:val="both"/>
      </w:pPr>
      <w:r>
        <w:rPr>
          <w:rFonts w:ascii="Aptos" w:hAnsi="Aptos"/>
        </w:rPr>
        <w:t xml:space="preserve">Compose currently declares Kafka, Schema Registry, Redis, Quickwit, Neo4j, ChromaDB, Redpanda Console, and hitl-api.</w:t>
      </w:r>
    </w:p>
    <w:p>
      <w:pPr>
        <w:spacing w:before="40" w:after="70"/>
        <w:ind w:left="240"/>
      </w:pPr>
      <w:r>
        <w:rPr>
          <w:rFonts w:ascii="Consolas" w:hAnsi="Consolas"/>
          <w:color w:val="333333"/>
          <w:sz w:val="19"/>
        </w:rPr>
        <w:t xml:space="preserve">.\venv\Scripts\python.exe -m uvicorn src.agents.visualizer_api:app --host 0.0.0.0 --port 8300</w:t>
      </w:r>
    </w:p>
    <w:p>
      <w:pPr>
        <w:spacing w:before="40" w:after="70"/>
        <w:ind w:left="240"/>
      </w:pPr>
      <w:r>
        <w:rPr>
          <w:rFonts w:ascii="Consolas" w:hAnsi="Consolas"/>
          <w:color w:val="333333"/>
          <w:sz w:val="19"/>
        </w:rPr>
        <w:t xml:space="preserve">cd visualization</w:t>
      </w:r>
    </w:p>
    <w:p>
      <w:pPr>
        <w:spacing w:before="40" w:after="70"/>
        <w:ind w:left="240"/>
      </w:pPr>
      <w:r>
        <w:rPr>
          <w:rFonts w:ascii="Consolas" w:hAnsi="Consolas"/>
          <w:color w:val="333333"/>
          <w:sz w:val="19"/>
        </w:rPr>
        <w:t xml:space="preserve">npm run dev</w:t>
      </w:r>
    </w:p>
    <w:p>
      <w:pPr>
        <w:spacing w:after="120"/>
        <w:jc w:val="both"/>
      </w:pPr>
      <w:r>
        <w:rPr>
          <w:rFonts w:ascii="Aptos" w:hAnsi="Aptos"/>
        </w:rPr>
        <w:t xml:space="preserve">The dashboard URL is printed by Vite (usually http://localhost:5173); the visualizer API is at http://localhost:8300. Run extraction separately:</w:t>
      </w:r>
    </w:p>
    <w:p>
      <w:pPr>
        <w:spacing w:before="40" w:after="70"/>
        <w:ind w:left="240"/>
      </w:pPr>
      <w:r>
        <w:rPr>
          <w:rFonts w:ascii="Consolas" w:hAnsi="Consolas"/>
          <w:color w:val="333333"/>
          <w:sz w:val="19"/>
        </w:rPr>
        <w:t xml:space="preserve">.\venv\Scripts\python.exe src/ingestion/run_pipeline.py</w:t>
      </w:r>
    </w:p>
    <w:p>
      <w:pPr>
        <w:keepNext/>
        <w:spacing w:before="150" w:after="70"/>
      </w:pPr>
      <w:r>
        <w:rPr>
          <w:rFonts w:ascii="Aptos" w:hAnsi="Aptos"/>
          <w:b/>
          <w:color w:val="365F91"/>
          <w:sz w:val="23"/>
        </w:rPr>
        <w:t xml:space="preserve">Configuration and data</w:t>
      </w:r>
    </w:p>
    <w:p>
      <w:pPr>
        <w:spacing w:after="120"/>
        <w:jc w:val="both"/>
      </w:pPr>
      <w:r>
        <w:rPr>
          <w:rFonts w:ascii="Aptos" w:hAnsi="Aptos"/>
        </w:rPr>
        <w:t xml:space="preserve">The repository includes .env.example. Keep deployment secrets in local environment configuration and out of distributable archives. Optional settings include NVD_API_KEY and Threat Attribution backend, base URL, API key, and model. Derived indexes and evidence live under data/ and are excluded from version control/package exports.</w:t>
      </w:r>
    </w:p>
    <w:p>
      <w:pPr>
        <w:pStyle w:val="Heading1"/>
        <w:keepNext/>
        <w:spacing w:before="240" w:after="100"/>
      </w:pPr>
      <w:r>
        <w:rPr>
          <w:rFonts w:ascii="Aptos" w:hAnsi="Aptos"/>
          <w:b/>
          <w:color w:val="17365D"/>
          <w:sz w:val="26"/>
        </w:rPr>
        <w:t xml:space="preserve">Dependencies and external services</w:t>
      </w:r>
    </w:p>
    <w:p>
      <w:pPr>
        <w:spacing w:after="120"/>
        <w:jc w:val="both"/>
      </w:pPr>
      <w:r>
        <w:rPr>
          <w:rFonts w:ascii="Aptos" w:hAnsi="Aptos"/>
        </w:rPr>
        <w:t xml:space="preserve">requirements.txt includes Pydantic, confluent-kafka with schema-registry support, Redis, Drain3, scikit-learn, requests, ChromaDB, LangGraph, LangChain integrations, Neo4j, FastAPI, Uvicorn, FAISS CPU, dpkt, and Google Cloud Logging.</w:t>
      </w:r>
    </w:p>
    <w:p>
      <w:pPr>
        <w:spacing w:after="120"/>
        <w:jc w:val="both"/>
      </w:pPr>
      <w:r>
        <w:rPr>
          <w:rFonts w:ascii="Aptos" w:hAnsi="Aptos"/>
        </w:rPr>
        <w:t xml:space="preserve">PROGRESS.md lists pending human terminal actions to install python-dateutil for dateutil normalizer tests and google-cloud-logging for live GCP Audit Log ingestion. Both are listed in requirements.txt, so the tracker may be stale or the environment may lack them.</w:t>
      </w:r>
    </w:p>
    <w:p>
      <w:pPr>
        <w:pStyle w:val="Heading1"/>
        <w:keepNext/>
        <w:spacing w:before="240" w:after="100"/>
      </w:pPr>
      <w:r>
        <w:rPr>
          <w:rFonts w:ascii="Aptos" w:hAnsi="Aptos"/>
          <w:b/>
          <w:color w:val="17365D"/>
          <w:sz w:val="26"/>
        </w:rPr>
        <w:t xml:space="preserve">Administrative issues and risks</w:t>
      </w:r>
    </w:p>
    <w:p>
      <w:pPr>
        <w:ind w:left="360" w:hanging="180"/>
        <w:spacing w:after="65"/>
      </w:pPr>
      <w:r>
        <w:rPr>
          <w:rFonts w:ascii="Aptos" w:hAnsi="Aptos"/>
        </w:rPr>
        <w:t xml:space="preserve">?  Roadmap transition: all tracked phases pass, but there is no Phase 6 backlog and the active-phase label remains Phase 4.</w:t>
      </w:r>
    </w:p>
    <w:p>
      <w:pPr>
        <w:ind w:left="360" w:hanging="180"/>
        <w:spacing w:after="65"/>
      </w:pPr>
      <w:r>
        <w:rPr>
          <w:rFonts w:ascii="Aptos" w:hAnsi="Aptos"/>
        </w:rPr>
        <w:t xml:space="preserve">?  Tracker integrity: duplicate TASK-4.8 identifiers weaken traceability.</w:t>
      </w:r>
    </w:p>
    <w:p>
      <w:pPr>
        <w:ind w:left="360" w:hanging="180"/>
        <w:spacing w:after="65"/>
      </w:pPr>
      <w:r>
        <w:rPr>
          <w:rFonts w:ascii="Aptos" w:hAnsi="Aptos"/>
        </w:rPr>
        <w:t xml:space="preserve">?  Documentation drift: Qdrant versus ChromaDB needs resolution; compare remaining service/port descriptions to Compose.</w:t>
      </w:r>
    </w:p>
    <w:p>
      <w:pPr>
        <w:ind w:left="360" w:hanging="180"/>
        <w:spacing w:after="65"/>
      </w:pPr>
      <w:r>
        <w:rPr>
          <w:rFonts w:ascii="Aptos" w:hAnsi="Aptos"/>
        </w:rPr>
        <w:t xml:space="preserve">?  Environment-specific validation: local/unit oracles do not establish live Kafka, Neo4j, Quickwit, model, GCP, throughput, or deployment readiness.</w:t>
      </w:r>
    </w:p>
    <w:p>
      <w:pPr>
        <w:ind w:left="360" w:hanging="180"/>
        <w:spacing w:after="65"/>
      </w:pPr>
      <w:r>
        <w:rPr>
          <w:rFonts w:ascii="Aptos" w:hAnsi="Aptos"/>
        </w:rPr>
        <w:t xml:space="preserve">?  Model ADR versus runtime: ADR-003 lists hosted role-specific assignments, while README says Threat Attribution defaults to a local stub. Record deployed configuration and fallbacks.</w:t>
      </w:r>
    </w:p>
    <w:p>
      <w:pPr>
        <w:ind w:left="360" w:hanging="180"/>
        <w:spacing w:after="65"/>
      </w:pPr>
      <w:r>
        <w:rPr>
          <w:rFonts w:ascii="Aptos" w:hAnsi="Aptos"/>
        </w:rPr>
        <w:t xml:space="preserve">?  Fabric anchoring: ADR-004 describes Hyperledger Fabric anchoring, but current Compose has no Fabric node. Classify as implemented elsewhere, planned, or deferred.</w:t>
      </w:r>
    </w:p>
    <w:p>
      <w:pPr>
        <w:ind w:left="360" w:hanging="180"/>
        <w:spacing w:after="65"/>
      </w:pPr>
      <w:r>
        <w:rPr>
          <w:rFonts w:ascii="Aptos" w:hAnsi="Aptos"/>
        </w:rPr>
        <w:t xml:space="preserve">?  AGENTS.md requires no more than two active atomic tasks, executable verification before passing transitions, and human-run package installation.</w:t>
      </w:r>
    </w:p>
    <w:p>
      <w:pPr>
        <w:pStyle w:val="Heading1"/>
        <w:keepNext/>
        <w:spacing w:before="240" w:after="100"/>
      </w:pPr>
      <w:r>
        <w:rPr>
          <w:rFonts w:ascii="Aptos" w:hAnsi="Aptos"/>
          <w:b/>
          <w:color w:val="17365D"/>
          <w:sz w:val="26"/>
        </w:rPr>
        <w:t xml:space="preserve">Recommended management actions</w:t>
      </w:r>
    </w:p>
    <w:p>
      <w:pPr>
        <w:ind w:left="240"/>
        <w:spacing w:after="80"/>
      </w:pPr>
      <w:r>
        <w:rPr>
          <w:rFonts w:ascii="Aptos" w:hAnsi="Aptos"/>
        </w:rPr>
        <w:t xml:space="preserve">1. Reconcile PROGRESS.md: fix duplicate IDs; confirm statuses/log entries; update active phase and last-updated date.</w:t>
      </w:r>
    </w:p>
    <w:p>
      <w:pPr>
        <w:ind w:left="240"/>
        <w:spacing w:after="80"/>
      </w:pPr>
      <w:r>
        <w:rPr>
          <w:rFonts w:ascii="Aptos" w:hAnsi="Aptos"/>
        </w:rPr>
        <w:t xml:space="preserve">2. Agree the next objective. A practical next phase is operational readiness: one reproducible end-to-end case run across ingestion, preservation, Kafka, Neo4j, LangGraph, HITL, and dashboard, with explicit environment and test criteria.</w:t>
      </w:r>
    </w:p>
    <w:p>
      <w:pPr>
        <w:ind w:left="240"/>
        <w:spacing w:after="80"/>
      </w:pPr>
      <w:r>
        <w:rPr>
          <w:rFonts w:ascii="Aptos" w:hAnsi="Aptos"/>
        </w:rPr>
        <w:t xml:space="preserve">3. Start no more than two atomic tasks, each with acceptance criteria and a machine-executable oracle.</w:t>
      </w:r>
    </w:p>
    <w:p>
      <w:pPr>
        <w:ind w:left="240"/>
        <w:spacing w:after="80"/>
      </w:pPr>
      <w:r>
        <w:rPr>
          <w:rFonts w:ascii="Aptos" w:hAnsi="Aptos"/>
        </w:rPr>
        <w:t xml:space="preserve">4. Resolve vector-store and model-backend mismatches; label each ADR capability implemented, partial, or planned.</w:t>
      </w:r>
    </w:p>
    <w:p>
      <w:pPr>
        <w:ind w:left="240"/>
        <w:spacing w:after="80"/>
      </w:pPr>
      <w:r>
        <w:rPr>
          <w:rFonts w:ascii="Aptos" w:hAnsi="Aptos"/>
        </w:rPr>
        <w:t xml:space="preserve">5. Confirm the Python environment against requirements.txt and dependency notes; keep credentials outside source and archives.</w:t>
      </w:r>
    </w:p>
    <w:p>
      <w:pPr>
        <w:ind w:left="240"/>
        <w:spacing w:after="80"/>
      </w:pPr>
      <w:r>
        <w:rPr>
          <w:rFonts w:ascii="Aptos" w:hAnsi="Aptos"/>
        </w:rPr>
        <w:t xml:space="preserve">6. Define integration, performance, security, backup/restore, and operations-owner checks before calling the system production-ready.</w:t>
      </w:r>
    </w:p>
    <w:p>
      <w:pPr>
        <w:pStyle w:val="Heading1"/>
        <w:keepNext/>
        <w:spacing w:before="240" w:after="100"/>
      </w:pPr>
      <w:r>
        <w:rPr>
          <w:rFonts w:ascii="Aptos" w:hAnsi="Aptos"/>
          <w:b/>
          <w:color w:val="17365D"/>
          <w:sz w:val="26"/>
        </w:rPr>
        <w:t xml:space="preserve">Repository and distribution snapshot</w:t>
      </w:r>
    </w:p>
    <w:p>
      <w:pPr>
        <w:spacing w:after="120"/>
        <w:jc w:val="both"/>
      </w:pPr>
      <w:r>
        <w:rPr>
          <w:rFonts w:ascii="Aptos" w:hAnsi="Aptos"/>
        </w:rPr>
        <w:t xml:space="preserve">Four separated archives were created in the repository root: backend.zip (src and scripts), frontend.zip (visualization), tests.zip (tests and additional tests), and config.zip (configuration, docs, and notes). An earlier specula-main-files.zip also remains. These archives exclude .env, virtual environments, caches, agent metadata, local data, and quarantine; config.zip includes .env.example.</w:t>
      </w:r>
    </w:p>
    <w:p>
      <w:pPr>
        <w:spacing w:after="120"/>
        <w:jc w:val="both"/>
      </w:pPr>
      <w:r>
        <w:rPr>
          <w:rFonts w:ascii="Aptos" w:hAnsi="Aptos"/>
        </w:rPr>
        <w:t xml:space="preserve">At review time, git status showed local edits in project tracking, README, agent configuration/graph code, threat-intelligence code, visualizer/HITL APIs, and Threat Attribution source/tests. These were already present when observed; this summary does not claim they were independently reviewed, tested, committed, or deployed.</w:t>
      </w:r>
    </w:p>
    <w:p>
      <w:pPr>
        <w:pStyle w:val="Heading1"/>
        <w:keepNext/>
        <w:spacing w:before="240" w:after="100"/>
      </w:pPr>
      <w:r>
        <w:rPr>
          <w:rFonts w:ascii="Aptos" w:hAnsi="Aptos"/>
          <w:b/>
          <w:color w:val="17365D"/>
          <w:sz w:val="26"/>
        </w:rPr>
        <w:t xml:space="preserve">Repository sources reviewed</w:t>
      </w:r>
    </w:p>
    <w:p>
      <w:pPr>
        <w:ind w:left="360" w:hanging="180"/>
        <w:spacing w:after="65"/>
      </w:pPr>
      <w:r>
        <w:rPr>
          <w:rFonts w:ascii="Aptos" w:hAnsi="Aptos"/>
        </w:rPr>
        <w:t xml:space="preserve">?  PROGRESS.md ? phases/tasks, verification commands, execution log, and dependency requests; dated 2026-10-03.</w:t>
      </w:r>
    </w:p>
    <w:p>
      <w:pPr>
        <w:ind w:left="360" w:hanging="180"/>
        <w:spacing w:after="65"/>
      </w:pPr>
      <w:r>
        <w:rPr>
          <w:rFonts w:ascii="Aptos" w:hAnsi="Aptos"/>
        </w:rPr>
        <w:t xml:space="preserve">?  DECISIONS.md ? accepted architectural decisions ADR-001 through ADR-008.</w:t>
      </w:r>
    </w:p>
    <w:p>
      <w:pPr>
        <w:ind w:left="360" w:hanging="180"/>
        <w:spacing w:after="65"/>
      </w:pPr>
      <w:r>
        <w:rPr>
          <w:rFonts w:ascii="Aptos" w:hAnsi="Aptos"/>
        </w:rPr>
        <w:t xml:space="preserve">?  README.md ? architecture, components, setup, ingestion modes, Threat Attribution configuration, outputs.</w:t>
      </w:r>
    </w:p>
    <w:p>
      <w:pPr>
        <w:ind w:left="360" w:hanging="180"/>
        <w:spacing w:after="65"/>
      </w:pPr>
      <w:r>
        <w:rPr>
          <w:rFonts w:ascii="Aptos" w:hAnsi="Aptos"/>
        </w:rPr>
        <w:t xml:space="preserve">?  docker-compose.yml, requirements.txt, visualization/package.json, and source entry points ? service/dependency inventories and startup paths.</w:t>
      </w:r>
    </w:p>
    <w:sectPr>
      <w:pgSz w:w="12240" w:h="15840"/>
      <w:pgMar w:top="900" w:right="1000" w:bottom="900" w:left="1000" w:header="450" w:footer="450"/>
    </w:sectPr>
  </w:body>
</w:document>
</file>

<file path=word/styles.xml><?xml version="1.0" encoding="utf-8"?>
<w:styles xmlns:w="http://schemas.openxmlformats.org/wordprocessingml/2006/main">
  <w:docDefaults>
    <w:rPrDefault>
      <w:rPr>
        <w:rFonts w:ascii="Aptos" w:hAnsi="Aptos"/>
        <w:sz w:val="21"/>
        <w:lang w:val="en-US"/>
      </w:rPr>
    </w:rPrDefault>
    <w:pPrDefault>
      <w:pPr>
        <w:spacing w:line="250" w:lineRule="auto"/>
      </w:pPr>
    </w:pPrDefault>
  </w:docDefaults>
  <w:style w:type="paragraph" w:default="1" w:styleId="Normal">
    <w:name w:val="Normal"/>
  </w:style>
  <w:style w:type="paragraph" w:styleId="Title">
    <w:name w:val="Title"/>
    <w:basedOn w:val="Normal"/>
  </w:style>
  <w:style w:type="paragraph" w:styleId="Heading1">
    <w:name w:val="heading 1"/>
    <w:basedOn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s>
</file>