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E9CCD" w14:textId="7996D0DD" w:rsidR="00D10B26" w:rsidRPr="00A94683" w:rsidRDefault="00A94683" w:rsidP="00A94683">
      <w:pPr>
        <w:pStyle w:val="Title"/>
        <w:rPr>
          <w:sz w:val="34"/>
          <w:szCs w:val="34"/>
        </w:rPr>
      </w:pPr>
      <w:r w:rsidRPr="00A94683">
        <w:rPr>
          <w:sz w:val="34"/>
          <w:szCs w:val="34"/>
        </w:rPr>
        <w:t>Assembly effects of temporarily immunizing interventions across connected patches and their potential impact on strategy: a two-patch mathematical modelling study</w:t>
      </w:r>
    </w:p>
    <w:p w14:paraId="02F8273A" w14:textId="050598D7" w:rsidR="00EC7D6A" w:rsidRDefault="00EC7D6A" w:rsidP="00D10B26">
      <w:pPr>
        <w:rPr>
          <w:rFonts w:asciiTheme="majorHAnsi" w:eastAsiaTheme="majorEastAsia" w:hAnsiTheme="majorHAnsi" w:cstheme="majorBidi"/>
        </w:rPr>
      </w:pPr>
    </w:p>
    <w:p w14:paraId="01D55FDC" w14:textId="71CB3D3B" w:rsidR="0075400F" w:rsidRDefault="0075400F" w:rsidP="00180CE3">
      <w:pPr>
        <w:pStyle w:val="Heading1"/>
      </w:pPr>
      <w:r>
        <w:t>Abstract</w:t>
      </w:r>
    </w:p>
    <w:p w14:paraId="1CF8F720" w14:textId="46B66CEA" w:rsidR="0075400F" w:rsidRDefault="004D1CD8" w:rsidP="0075400F">
      <w:r>
        <w:t xml:space="preserve">As malaria is getting close to elimination, there is more heterogeneity in its prevalence and incidence. This heterogeneity creates some places with high malaria incidence </w:t>
      </w:r>
      <w:r w:rsidR="00400F78">
        <w:t>(</w:t>
      </w:r>
      <w:r>
        <w:t>hotspots</w:t>
      </w:r>
      <w:r w:rsidR="00400F78">
        <w:t>)</w:t>
      </w:r>
      <w:r>
        <w:t xml:space="preserve"> and some with low incidence </w:t>
      </w:r>
      <w:r w:rsidR="00400F78">
        <w:t>(</w:t>
      </w:r>
      <w:proofErr w:type="spellStart"/>
      <w:r>
        <w:t>coldspots</w:t>
      </w:r>
      <w:proofErr w:type="spellEnd"/>
      <w:r w:rsidR="00400F78">
        <w:t>)</w:t>
      </w:r>
      <w:r>
        <w:t>. Naturally, we would assume that targeting the malaria hotspots would bring about elimination.</w:t>
      </w:r>
    </w:p>
    <w:p w14:paraId="5F7D18C2" w14:textId="77777777" w:rsidR="00400F78" w:rsidRDefault="00400F78" w:rsidP="0075400F"/>
    <w:p w14:paraId="31C5BE59" w14:textId="727C894A" w:rsidR="004D1CD8" w:rsidRDefault="004D1CD8" w:rsidP="0075400F">
      <w:r>
        <w:t xml:space="preserve">We </w:t>
      </w:r>
      <w:r w:rsidR="000447AA">
        <w:t xml:space="preserve">developed a connected two-patch model to </w:t>
      </w:r>
      <w:r>
        <w:t xml:space="preserve">look at </w:t>
      </w:r>
      <w:r w:rsidR="000447AA">
        <w:t xml:space="preserve">how the connectedness influence the outcome of the </w:t>
      </w:r>
      <w:r w:rsidR="00400F78">
        <w:t xml:space="preserve">immunizing intervention such as the mass drug administration (MDA). </w:t>
      </w:r>
    </w:p>
    <w:p w14:paraId="5EF898ED" w14:textId="33AE6DC2" w:rsidR="00B932AB" w:rsidRDefault="00B932AB" w:rsidP="0075400F"/>
    <w:p w14:paraId="259F6216" w14:textId="11FEB224" w:rsidR="00A12868" w:rsidRDefault="00A12868" w:rsidP="0075400F">
      <w:r>
        <w:t xml:space="preserve">Due to the temporary nature of MDA effect, it is always essential that we improve and maintain routine interventions such as </w:t>
      </w:r>
      <w:r>
        <w:t>early diagnosis and treatment (EDAT) and long-lasting insecticide-treated nets (LLIN)</w:t>
      </w:r>
      <w:r w:rsidR="00E041E8">
        <w:t xml:space="preserve"> alongside the deployment of MDA</w:t>
      </w:r>
      <w:r>
        <w:t xml:space="preserve">. </w:t>
      </w:r>
    </w:p>
    <w:p w14:paraId="27EC6CBA" w14:textId="77777777" w:rsidR="00A12868" w:rsidRDefault="00A12868" w:rsidP="0075400F"/>
    <w:p w14:paraId="45B58384" w14:textId="5DAD3807" w:rsidR="00A12868" w:rsidRDefault="00A12868" w:rsidP="0075400F">
      <w:r>
        <w:t xml:space="preserve">We found that the focal MDA of malaria hotspots could bring about elimination only if we also do at least one round of MDA in the malaria </w:t>
      </w:r>
      <w:proofErr w:type="spellStart"/>
      <w:r>
        <w:t>coldspots</w:t>
      </w:r>
      <w:proofErr w:type="spellEnd"/>
      <w:r>
        <w:t xml:space="preserve">. </w:t>
      </w:r>
    </w:p>
    <w:p w14:paraId="594B4C9E" w14:textId="38C72EB4" w:rsidR="00501EF5" w:rsidRDefault="00501EF5" w:rsidP="0075400F"/>
    <w:p w14:paraId="4C57790B" w14:textId="77777777" w:rsidR="00501EF5" w:rsidRPr="0075400F" w:rsidRDefault="00501EF5" w:rsidP="0075400F"/>
    <w:p w14:paraId="2BAB48E0" w14:textId="3A69A46B" w:rsidR="00180CE3" w:rsidRDefault="00180CE3" w:rsidP="00180CE3">
      <w:pPr>
        <w:pStyle w:val="Heading1"/>
      </w:pPr>
      <w:r>
        <w:t>Glossary</w:t>
      </w:r>
    </w:p>
    <w:p w14:paraId="120F7F81" w14:textId="76C0BC5E" w:rsidR="00B76B4E" w:rsidRDefault="00B76B4E" w:rsidP="00D10B26">
      <w:pPr>
        <w:rPr>
          <w:rFonts w:asciiTheme="majorHAnsi" w:eastAsiaTheme="majorEastAsia" w:hAnsiTheme="majorHAnsi" w:cstheme="majorBidi"/>
        </w:rPr>
      </w:pPr>
    </w:p>
    <w:p w14:paraId="4CAB7151" w14:textId="74F562CE" w:rsidR="00691B23" w:rsidRDefault="00691B23" w:rsidP="00691B23">
      <w:pPr>
        <w:rPr>
          <w:rFonts w:asciiTheme="majorHAnsi" w:eastAsiaTheme="majorEastAsia" w:hAnsiTheme="majorHAnsi" w:cstheme="majorBidi"/>
        </w:rPr>
      </w:pPr>
      <w:r>
        <w:rPr>
          <w:rFonts w:asciiTheme="majorHAnsi" w:eastAsiaTheme="majorEastAsia" w:hAnsiTheme="majorHAnsi" w:cstheme="majorBidi"/>
        </w:rPr>
        <w:t xml:space="preserve">(Temporarily) Immunizing </w:t>
      </w:r>
      <w:r w:rsidR="00FB58C1">
        <w:rPr>
          <w:rFonts w:asciiTheme="majorHAnsi" w:eastAsiaTheme="majorEastAsia" w:hAnsiTheme="majorHAnsi" w:cstheme="majorBidi"/>
        </w:rPr>
        <w:t xml:space="preserve">mass </w:t>
      </w:r>
      <w:r>
        <w:rPr>
          <w:rFonts w:asciiTheme="majorHAnsi" w:eastAsiaTheme="majorEastAsia" w:hAnsiTheme="majorHAnsi" w:cstheme="majorBidi"/>
        </w:rPr>
        <w:t>intervention: A public health intervention against an infectious disease, resulting in some form of immunizing effect against the disease in the recipient of the intervention. [A burst of effect for a specific duration after which the effect would drop]</w:t>
      </w:r>
    </w:p>
    <w:p w14:paraId="3CEFA24E" w14:textId="77777777" w:rsidR="00691B23" w:rsidRDefault="00691B23" w:rsidP="00DC3A7E">
      <w:pPr>
        <w:rPr>
          <w:rFonts w:asciiTheme="majorHAnsi" w:eastAsiaTheme="majorEastAsia" w:hAnsiTheme="majorHAnsi" w:cstheme="majorBidi"/>
        </w:rPr>
      </w:pPr>
    </w:p>
    <w:p w14:paraId="46DBD6DB" w14:textId="68270B76" w:rsidR="00DC3A7E" w:rsidRDefault="00DC3A7E" w:rsidP="00DC3A7E">
      <w:pPr>
        <w:rPr>
          <w:rFonts w:asciiTheme="majorHAnsi" w:eastAsiaTheme="majorEastAsia" w:hAnsiTheme="majorHAnsi" w:cstheme="majorBidi"/>
        </w:rPr>
      </w:pPr>
      <w:r>
        <w:rPr>
          <w:rFonts w:asciiTheme="majorHAnsi" w:eastAsiaTheme="majorEastAsia" w:hAnsiTheme="majorHAnsi" w:cstheme="majorBidi"/>
        </w:rPr>
        <w:t>Patch: Model’s representation of a certain geographical area. It can be a village, a city, a province, etc.</w:t>
      </w:r>
    </w:p>
    <w:p w14:paraId="66B78EFC" w14:textId="77777777" w:rsidR="00936A5E" w:rsidRDefault="00936A5E" w:rsidP="00D10B26">
      <w:pPr>
        <w:rPr>
          <w:rFonts w:asciiTheme="majorHAnsi" w:eastAsiaTheme="majorEastAsia" w:hAnsiTheme="majorHAnsi" w:cstheme="majorBidi"/>
        </w:rPr>
      </w:pPr>
    </w:p>
    <w:p w14:paraId="65177132" w14:textId="6B7BD553" w:rsidR="00180CE3" w:rsidRDefault="001D3E11" w:rsidP="00D10B26">
      <w:pPr>
        <w:rPr>
          <w:rFonts w:asciiTheme="majorHAnsi" w:eastAsiaTheme="majorEastAsia" w:hAnsiTheme="majorHAnsi" w:cstheme="majorBidi"/>
        </w:rPr>
      </w:pPr>
      <w:r>
        <w:rPr>
          <w:rFonts w:asciiTheme="majorHAnsi" w:eastAsiaTheme="majorEastAsia" w:hAnsiTheme="majorHAnsi" w:cstheme="majorBidi"/>
        </w:rPr>
        <w:t>Connectedness</w:t>
      </w:r>
      <w:r w:rsidR="00FC5858">
        <w:rPr>
          <w:rFonts w:asciiTheme="majorHAnsi" w:eastAsiaTheme="majorEastAsia" w:hAnsiTheme="majorHAnsi" w:cstheme="majorBidi"/>
        </w:rPr>
        <w:t xml:space="preserve">: </w:t>
      </w:r>
      <w:r w:rsidR="00BF2FB6">
        <w:rPr>
          <w:rFonts w:asciiTheme="majorHAnsi" w:eastAsiaTheme="majorEastAsia" w:hAnsiTheme="majorHAnsi" w:cstheme="majorBidi"/>
        </w:rPr>
        <w:t xml:space="preserve">Two patches are connected when </w:t>
      </w:r>
      <w:r w:rsidR="00A17037">
        <w:rPr>
          <w:rFonts w:asciiTheme="majorHAnsi" w:eastAsiaTheme="majorEastAsia" w:hAnsiTheme="majorHAnsi" w:cstheme="majorBidi"/>
        </w:rPr>
        <w:t>some</w:t>
      </w:r>
      <w:r w:rsidR="00BF2FB6">
        <w:rPr>
          <w:rFonts w:asciiTheme="majorHAnsi" w:eastAsiaTheme="majorEastAsia" w:hAnsiTheme="majorHAnsi" w:cstheme="majorBidi"/>
        </w:rPr>
        <w:t xml:space="preserve"> number of people from one patch spend part of their time in the other patch </w:t>
      </w:r>
      <w:r w:rsidR="00A17037">
        <w:rPr>
          <w:rFonts w:asciiTheme="majorHAnsi" w:eastAsiaTheme="majorEastAsia" w:hAnsiTheme="majorHAnsi" w:cstheme="majorBidi"/>
        </w:rPr>
        <w:t xml:space="preserve">and </w:t>
      </w:r>
      <w:r w:rsidR="00BF2FB6">
        <w:rPr>
          <w:rFonts w:asciiTheme="majorHAnsi" w:eastAsiaTheme="majorEastAsia" w:hAnsiTheme="majorHAnsi" w:cstheme="majorBidi"/>
        </w:rPr>
        <w:t xml:space="preserve">thus experiencing the </w:t>
      </w:r>
      <w:r w:rsidR="00A17037">
        <w:rPr>
          <w:rFonts w:asciiTheme="majorHAnsi" w:eastAsiaTheme="majorEastAsia" w:hAnsiTheme="majorHAnsi" w:cstheme="majorBidi"/>
        </w:rPr>
        <w:t>disease spreading condition (</w:t>
      </w:r>
      <w:r w:rsidR="00BF2FB6">
        <w:rPr>
          <w:rFonts w:asciiTheme="majorHAnsi" w:eastAsiaTheme="majorEastAsia" w:hAnsiTheme="majorHAnsi" w:cstheme="majorBidi"/>
        </w:rPr>
        <w:t>effective contact rate</w:t>
      </w:r>
      <w:r w:rsidR="00A17037">
        <w:rPr>
          <w:rFonts w:asciiTheme="majorHAnsi" w:eastAsiaTheme="majorEastAsia" w:hAnsiTheme="majorHAnsi" w:cstheme="majorBidi"/>
        </w:rPr>
        <w:t>)</w:t>
      </w:r>
      <w:r w:rsidR="00BF2FB6">
        <w:rPr>
          <w:rFonts w:asciiTheme="majorHAnsi" w:eastAsiaTheme="majorEastAsia" w:hAnsiTheme="majorHAnsi" w:cstheme="majorBidi"/>
        </w:rPr>
        <w:t xml:space="preserve"> of the latter patch. For simplicity in our model, we have assumed the connectedness as the overlapping area between the two patches, for which the effective contact rate is the average of the two patches, as described in the following diagram. Subsequently, H proportion of people from each patch is assumed to spend have of their time in the other patch. When H is 0, there’s no connectedness between the two patches and when H is 1, the two patches essentially become one big patch with the average effective contact rate of the two.</w:t>
      </w:r>
    </w:p>
    <w:p w14:paraId="21642DB8" w14:textId="376F96BB" w:rsidR="00936A5E" w:rsidRDefault="00374D15" w:rsidP="00D10B26">
      <w:pPr>
        <w:rPr>
          <w:rFonts w:asciiTheme="majorHAnsi" w:eastAsiaTheme="majorEastAsia" w:hAnsiTheme="majorHAnsi" w:cstheme="majorBidi"/>
        </w:rPr>
      </w:pPr>
      <w:r w:rsidRPr="00EC7D6A">
        <w:rPr>
          <w:noProof/>
        </w:rPr>
        <w:lastRenderedPageBreak/>
        <w:drawing>
          <wp:inline distT="0" distB="0" distL="0" distR="0" wp14:anchorId="59F030B2" wp14:editId="36AAF900">
            <wp:extent cx="1908863" cy="133296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548" t="9725" r="31831" b="18743"/>
                    <a:stretch/>
                  </pic:blipFill>
                  <pic:spPr bwMode="auto">
                    <a:xfrm>
                      <a:off x="0" y="0"/>
                      <a:ext cx="1919852" cy="1340640"/>
                    </a:xfrm>
                    <a:prstGeom prst="rect">
                      <a:avLst/>
                    </a:prstGeom>
                    <a:ln>
                      <a:noFill/>
                    </a:ln>
                    <a:extLst>
                      <a:ext uri="{53640926-AAD7-44D8-BBD7-CCE9431645EC}">
                        <a14:shadowObscured xmlns:a14="http://schemas.microsoft.com/office/drawing/2010/main"/>
                      </a:ext>
                    </a:extLst>
                  </pic:spPr>
                </pic:pic>
              </a:graphicData>
            </a:graphic>
          </wp:inline>
        </w:drawing>
      </w:r>
    </w:p>
    <w:p w14:paraId="4EF64545" w14:textId="58CC50E4" w:rsidR="004A77D9" w:rsidRDefault="004A77D9" w:rsidP="00D10B26">
      <w:pPr>
        <w:rPr>
          <w:rFonts w:asciiTheme="majorHAnsi" w:eastAsiaTheme="majorEastAsia" w:hAnsiTheme="majorHAnsi" w:cstheme="majorBidi"/>
        </w:rPr>
      </w:pPr>
    </w:p>
    <w:p w14:paraId="35F74E2A" w14:textId="77777777" w:rsidR="004A77D9" w:rsidRDefault="004A77D9" w:rsidP="004A77D9">
      <w:pPr>
        <w:rPr>
          <w:rFonts w:asciiTheme="majorHAnsi" w:eastAsiaTheme="majorEastAsia" w:hAnsiTheme="majorHAnsi" w:cstheme="majorBidi"/>
        </w:rPr>
      </w:pPr>
      <w:r>
        <w:rPr>
          <w:rFonts w:asciiTheme="majorHAnsi" w:eastAsiaTheme="majorEastAsia" w:hAnsiTheme="majorHAnsi" w:cstheme="majorBidi"/>
        </w:rPr>
        <w:t xml:space="preserve">Assembly effect: Advantageous or disadvantageous effect experienced by a particular patch owing to its degree of connectedness to another patch which is receiving an immunizing intervention at a higher or lower level (or not receiving at all). </w:t>
      </w:r>
    </w:p>
    <w:p w14:paraId="31481917" w14:textId="2FDDAD6E" w:rsidR="004A77D9" w:rsidRDefault="004A77D9" w:rsidP="00D10B26">
      <w:pPr>
        <w:rPr>
          <w:rFonts w:asciiTheme="majorHAnsi" w:eastAsiaTheme="majorEastAsia" w:hAnsiTheme="majorHAnsi" w:cstheme="majorBidi"/>
        </w:rPr>
      </w:pPr>
    </w:p>
    <w:p w14:paraId="66533039" w14:textId="0ABD1E4D" w:rsidR="00960315" w:rsidRDefault="00960315" w:rsidP="00D10B26">
      <w:pPr>
        <w:rPr>
          <w:rFonts w:asciiTheme="majorHAnsi" w:eastAsiaTheme="majorEastAsia" w:hAnsiTheme="majorHAnsi" w:cstheme="majorBidi"/>
        </w:rPr>
      </w:pPr>
      <w:r>
        <w:rPr>
          <w:rFonts w:asciiTheme="majorHAnsi" w:eastAsiaTheme="majorEastAsia" w:hAnsiTheme="majorHAnsi" w:cstheme="majorBidi"/>
        </w:rPr>
        <w:t>MDA coverage: A composite term for the actual MDA intervention coverage and the adherence to the intervention by the participants.</w:t>
      </w:r>
    </w:p>
    <w:p w14:paraId="3F766AC2" w14:textId="77777777" w:rsidR="00936A5E" w:rsidRDefault="00936A5E" w:rsidP="001D3E11">
      <w:pPr>
        <w:rPr>
          <w:rFonts w:asciiTheme="majorHAnsi" w:eastAsiaTheme="majorEastAsia" w:hAnsiTheme="majorHAnsi" w:cstheme="majorBidi"/>
        </w:rPr>
      </w:pPr>
    </w:p>
    <w:p w14:paraId="42C52F7F" w14:textId="34916118" w:rsidR="00EC7D6A" w:rsidRPr="00CD3533" w:rsidRDefault="00390CE6" w:rsidP="00D10B26">
      <w:pPr>
        <w:rPr>
          <w:rFonts w:asciiTheme="majorHAnsi" w:eastAsiaTheme="majorEastAsia" w:hAnsiTheme="majorHAnsi" w:cstheme="majorBidi"/>
        </w:rPr>
      </w:pPr>
      <w:r>
        <w:rPr>
          <w:rFonts w:asciiTheme="majorHAnsi" w:eastAsiaTheme="majorEastAsia" w:hAnsiTheme="majorHAnsi" w:cstheme="majorBidi"/>
        </w:rPr>
        <w:t>Malaria hotspots</w:t>
      </w:r>
      <w:r w:rsidR="00242D77">
        <w:rPr>
          <w:rFonts w:asciiTheme="majorHAnsi" w:eastAsiaTheme="majorEastAsia" w:hAnsiTheme="majorHAnsi" w:cstheme="majorBidi"/>
        </w:rPr>
        <w:t xml:space="preserve">: </w:t>
      </w:r>
    </w:p>
    <w:p w14:paraId="735855F4" w14:textId="18BF073D" w:rsidR="00D10B26" w:rsidRPr="00D10B26" w:rsidRDefault="00D10B26" w:rsidP="00D10B26">
      <w:pPr>
        <w:rPr>
          <w:rFonts w:asciiTheme="majorHAnsi" w:eastAsiaTheme="majorEastAsia" w:hAnsiTheme="majorHAnsi" w:cstheme="majorBidi"/>
        </w:rPr>
      </w:pPr>
    </w:p>
    <w:p w14:paraId="27E862E7" w14:textId="4B7AC3F2" w:rsidR="00F55234" w:rsidRDefault="00F55234" w:rsidP="00F55234">
      <w:pPr>
        <w:pStyle w:val="Heading1"/>
      </w:pPr>
      <w:r>
        <w:t>Introduction</w:t>
      </w:r>
    </w:p>
    <w:p w14:paraId="789BE0F1" w14:textId="042A3E0C" w:rsidR="00807C43" w:rsidRDefault="005C3F57" w:rsidP="005C3F57">
      <w:r>
        <w:t>According to the latest</w:t>
      </w:r>
      <w:r w:rsidR="00683894">
        <w:t xml:space="preserve"> Global Burden of Diseases (</w:t>
      </w:r>
      <w:r>
        <w:t>GBD</w:t>
      </w:r>
      <w:r w:rsidR="00683894">
        <w:t xml:space="preserve"> 2017)</w:t>
      </w:r>
      <w:r>
        <w:t xml:space="preserve"> study, </w:t>
      </w:r>
      <w:r w:rsidR="00807C43">
        <w:t xml:space="preserve">the </w:t>
      </w:r>
      <w:r w:rsidR="00D86689">
        <w:t>communicable</w:t>
      </w:r>
      <w:r>
        <w:t xml:space="preserve"> diseases </w:t>
      </w:r>
      <w:r w:rsidR="00D86689">
        <w:t>made up 44% and 31% of mortality in the</w:t>
      </w:r>
      <w:r w:rsidR="00020410">
        <w:t xml:space="preserve"> </w:t>
      </w:r>
      <w:r w:rsidR="00D86689">
        <w:t xml:space="preserve">countries </w:t>
      </w:r>
      <w:r w:rsidR="00683894">
        <w:t xml:space="preserve">with the low </w:t>
      </w:r>
      <w:r w:rsidR="00D86689">
        <w:t xml:space="preserve">and low-middle </w:t>
      </w:r>
      <w:r w:rsidR="00683894">
        <w:t>socio-development index (SDI)</w:t>
      </w:r>
      <w:r w:rsidR="004E0006">
        <w:t xml:space="preserve"> </w:t>
      </w:r>
      <w:r w:rsidR="00807C43">
        <w:fldChar w:fldCharType="begin"/>
      </w:r>
      <w:r w:rsidR="00807C43">
        <w:instrText xml:space="preserve"> ADDIN ZOTERO_ITEM CSL_CITATION {"citationID":"QibLSDLS","properties":{"formattedCitation":"(1)","plainCitation":"(1)","noteIndex":0},"citationItems":[{"id":763,"uris":["http://zotero.org/users/2420167/items/FG8JMGLS"],"uri":["http://zotero.org/users/2420167/items/FG8JMGLS"],"itemData":{"id":763,"type":"report","title":"Global Burden of Disease Study 2017 (GBD 2017) Results.","publisher":"Institute for Health Metrics and Evaluation (IHME)","publisher-place":"Seattle, United States","event-place":"Seattle, United States","URL":"http://ghdx.healthdata.org/gbd-results-tool","author":[{"family":"Global Burden of Disease Collaborative Network.","given":""}],"issued":{"date-parts":[["2019"]]},"accessed":{"date-parts":[["2019",8,15]]}}}],"schema":"https://github.com/citation-style-language/schema/raw/master/csl-citation.json"} </w:instrText>
      </w:r>
      <w:r w:rsidR="00807C43">
        <w:fldChar w:fldCharType="separate"/>
      </w:r>
      <w:r w:rsidR="00807C43">
        <w:rPr>
          <w:noProof/>
        </w:rPr>
        <w:t>(1)</w:t>
      </w:r>
      <w:r w:rsidR="00807C43">
        <w:fldChar w:fldCharType="end"/>
      </w:r>
      <w:r>
        <w:t xml:space="preserve">. </w:t>
      </w:r>
      <w:r w:rsidR="00807C43">
        <w:t xml:space="preserve">The hallmark of the communicable diseases is that they are preventable. The most preferred methods for this would be in terms of primary prevention where the aim is to prevent the onset of the disease </w:t>
      </w:r>
      <w:proofErr w:type="spellStart"/>
      <w:r w:rsidR="00807C43">
        <w:t>ie</w:t>
      </w:r>
      <w:proofErr w:type="spellEnd"/>
      <w:r w:rsidR="00807C43">
        <w:t>. Stop people from contracting the disease. Immunization/vaccination has been an important strategy for primary prevention against the communicable disease.</w:t>
      </w:r>
      <w:r w:rsidR="00020410">
        <w:t xml:space="preserve"> </w:t>
      </w:r>
    </w:p>
    <w:p w14:paraId="2BBEF61F" w14:textId="77777777" w:rsidR="00807C43" w:rsidRDefault="00807C43" w:rsidP="005C3F57"/>
    <w:p w14:paraId="5D515475" w14:textId="5F337287" w:rsidR="00554018" w:rsidRDefault="00020410" w:rsidP="005C3F57">
      <w:r>
        <w:t>Unfortunately, we couldn’t vaccinate every infectious disease. No vaccination is perfect. And overtime, the effect of immuniz</w:t>
      </w:r>
      <w:r w:rsidR="000D3C42">
        <w:t>ation</w:t>
      </w:r>
      <w:r>
        <w:t xml:space="preserve"> wanes. Some public health interventions could have a temporarily immunizing effects on these infectious diseases </w:t>
      </w:r>
      <w:proofErr w:type="spellStart"/>
      <w:r>
        <w:t>eg.</w:t>
      </w:r>
      <w:proofErr w:type="spellEnd"/>
      <w:r>
        <w:t xml:space="preserve"> vaccination against malaria, MDA provides protection from malaria similar to a form of immunity, flu vaccine, ….</w:t>
      </w:r>
      <w:r w:rsidR="00111739">
        <w:t xml:space="preserve"> Albeit temporary, these immunizing interventions are important considerations because they could terminate the chain of transmission, provided there’s enough isolation. Unfortunately, in the modern world, no place is isolated. Even the island nations have connections to the outside world and stringent interventions may be required to prevent re-establishment of the disease. </w:t>
      </w:r>
    </w:p>
    <w:p w14:paraId="12F81CC9" w14:textId="53750769" w:rsidR="00020410" w:rsidRDefault="00020410" w:rsidP="005C3F57"/>
    <w:p w14:paraId="4FAFC43D" w14:textId="24CAB868" w:rsidR="00020410" w:rsidRDefault="00020410" w:rsidP="005C3F57">
      <w:r>
        <w:t>Herd immunity</w:t>
      </w:r>
      <w:r w:rsidR="00111739">
        <w:t>:</w:t>
      </w:r>
      <w:r w:rsidR="00B76B4E">
        <w:t xml:space="preserve"> Assume homogeneity in a single population, which is not true. We extend this concept by experimenting with a two-patch model which could have a variable level of connectedness.</w:t>
      </w:r>
      <w:r w:rsidR="00C84517">
        <w:t xml:space="preserve"> This </w:t>
      </w:r>
      <w:r w:rsidR="00111739">
        <w:t>connectedness may be important for the success of the rollout of the aforementioned immunizing interventions</w:t>
      </w:r>
      <w:r w:rsidR="00573006">
        <w:t xml:space="preserve"> on a large scale (</w:t>
      </w:r>
      <w:proofErr w:type="spellStart"/>
      <w:r w:rsidR="00573006">
        <w:t>eg.</w:t>
      </w:r>
      <w:proofErr w:type="spellEnd"/>
      <w:r w:rsidR="00573006">
        <w:t xml:space="preserve"> at a national and global scale)</w:t>
      </w:r>
      <w:r w:rsidR="00111739">
        <w:t xml:space="preserve">.  </w:t>
      </w:r>
    </w:p>
    <w:p w14:paraId="1AC9D341" w14:textId="4BBA1877" w:rsidR="00020410" w:rsidRDefault="00020410" w:rsidP="005C3F57"/>
    <w:p w14:paraId="3D495B62" w14:textId="0E949952" w:rsidR="00020410" w:rsidRDefault="00020410" w:rsidP="005C3F57">
      <w:r>
        <w:t xml:space="preserve">Here, we constructed a hypothetical scenario in which there are two connected patches (isolated from the outside world) to </w:t>
      </w:r>
      <w:r w:rsidR="006A63DE">
        <w:t xml:space="preserve">look at the effect the connectedness </w:t>
      </w:r>
      <w:proofErr w:type="gramStart"/>
      <w:r w:rsidR="006A63DE">
        <w:t>have</w:t>
      </w:r>
      <w:proofErr w:type="gramEnd"/>
      <w:r w:rsidR="006A63DE">
        <w:t xml:space="preserve"> on deploying these temporarily immunizing interventions. </w:t>
      </w:r>
      <w:r w:rsidR="006A63DE" w:rsidRPr="000D3C42">
        <w:rPr>
          <w:strike/>
        </w:rPr>
        <w:t xml:space="preserve">We first looked at </w:t>
      </w:r>
      <w:proofErr w:type="spellStart"/>
      <w:r w:rsidR="006A63DE" w:rsidRPr="000D3C42">
        <w:rPr>
          <w:strike/>
        </w:rPr>
        <w:t>at</w:t>
      </w:r>
      <w:proofErr w:type="spellEnd"/>
      <w:r w:rsidR="006A63DE" w:rsidRPr="000D3C42">
        <w:rPr>
          <w:strike/>
        </w:rPr>
        <w:t xml:space="preserve"> a very simple general </w:t>
      </w:r>
      <w:r w:rsidR="006A63DE" w:rsidRPr="000D3C42">
        <w:rPr>
          <w:strike/>
        </w:rPr>
        <w:lastRenderedPageBreak/>
        <w:t>model and then at a specific, more complicated example where MDA is regarded as an immunizing intervention against malaria.</w:t>
      </w:r>
    </w:p>
    <w:p w14:paraId="75CA8945" w14:textId="162D4664" w:rsidR="00C84517" w:rsidRDefault="00C84517" w:rsidP="005C3F57"/>
    <w:p w14:paraId="61F233E8" w14:textId="1B029FBA" w:rsidR="0075400F" w:rsidRDefault="0075400F" w:rsidP="005C3F57">
      <w:r>
        <w:t>We have provided a specific example where the mass drug administration (MDA) is regarded as the immunizing intervention. Many malaria models assume that the population is homogeneous, which would be a correct assumption during the malaria control era. But as malaria incidence has come down</w:t>
      </w:r>
      <w:r w:rsidR="000D3C42">
        <w:t xml:space="preserve"> globally</w:t>
      </w:r>
      <w:r>
        <w:t xml:space="preserve">, the presence of malaria becomes heterogeneous. Pockets of hotspots would have drastically different </w:t>
      </w:r>
      <w:r w:rsidR="000D3C42">
        <w:t xml:space="preserve">malaria incidence from those of the </w:t>
      </w:r>
      <w:proofErr w:type="spellStart"/>
      <w:r w:rsidR="000D3C42">
        <w:t>coldspots</w:t>
      </w:r>
      <w:proofErr w:type="spellEnd"/>
      <w:r w:rsidR="000D3C42">
        <w:t xml:space="preserve">. Because of this heterogeneity, the consideration of human movement (connectedness) between them is increasing important. We will look at scenarios where these hotspots and </w:t>
      </w:r>
      <w:proofErr w:type="spellStart"/>
      <w:r w:rsidR="000D3C42">
        <w:t>coldspots</w:t>
      </w:r>
      <w:proofErr w:type="spellEnd"/>
      <w:r w:rsidR="000D3C42">
        <w:t xml:space="preserve"> are connected and how their connectedness could influence the way we deploy the immunizing interventions.</w:t>
      </w:r>
    </w:p>
    <w:p w14:paraId="534FC2CB" w14:textId="4EB6658E" w:rsidR="00C84517" w:rsidRPr="004D4C47" w:rsidRDefault="000D3C42" w:rsidP="00C84517">
      <w:pPr>
        <w:pStyle w:val="ListParagraph"/>
        <w:numPr>
          <w:ilvl w:val="0"/>
          <w:numId w:val="2"/>
        </w:numPr>
      </w:pPr>
      <w:r>
        <w:t xml:space="preserve"> </w:t>
      </w:r>
      <w:r w:rsidR="00C84517">
        <w:t>(</w:t>
      </w:r>
      <w:proofErr w:type="spellStart"/>
      <w:r w:rsidR="00C84517">
        <w:t>Cosner</w:t>
      </w:r>
      <w:proofErr w:type="spellEnd"/>
      <w:r w:rsidR="00C84517">
        <w:t xml:space="preserve"> 2009, Prosper 2012)</w:t>
      </w:r>
    </w:p>
    <w:p w14:paraId="35E59C14" w14:textId="77777777" w:rsidR="00C84517" w:rsidRPr="00554018" w:rsidRDefault="00C84517" w:rsidP="005C3F57"/>
    <w:p w14:paraId="2376EA07" w14:textId="4CF8A85E" w:rsidR="0003286F" w:rsidRDefault="0003286F" w:rsidP="0003286F">
      <w:pPr>
        <w:pStyle w:val="Heading1"/>
      </w:pPr>
      <w:r>
        <w:t>Methods</w:t>
      </w:r>
    </w:p>
    <w:p w14:paraId="7A600D90" w14:textId="4DEB0A05" w:rsidR="00432FD3" w:rsidRPr="00432FD3" w:rsidRDefault="00432FD3" w:rsidP="00432FD3">
      <w:r>
        <w:t xml:space="preserve">All analyses were carried out in R programming language version 3.6.0 </w:t>
      </w:r>
      <w:r>
        <w:fldChar w:fldCharType="begin"/>
      </w:r>
      <w:r>
        <w:instrText xml:space="preserve"> ADDIN ZOTERO_ITEM CSL_CITATION {"citationID":"aqMvoAxg","properties":{"formattedCitation":"(2)","plainCitation":"(2)","noteIndex":0},"citationItems":[{"id":764,"uris":["http://zotero.org/users/2420167/items/ME8ULAWA"],"uri":["http://zotero.org/users/2420167/items/ME8ULAWA"],"itemData":{"id":764,"type":"book","title":"R: A Language and Environment for Statistical Computing","publisher":"R Foundation for Statistical Computing","publisher-place":"Vienna, Austria","event-place":"Vienna, Austria","URL":"https://www.R-project.org/","author":[{"literal":"R Core Team"}],"issued":{"date-parts":[["2019"]]}}}],"schema":"https://github.com/citation-style-language/schema/raw/master/csl-citation.json"} </w:instrText>
      </w:r>
      <w:r>
        <w:fldChar w:fldCharType="separate"/>
      </w:r>
      <w:r>
        <w:rPr>
          <w:noProof/>
        </w:rPr>
        <w:t>(2)</w:t>
      </w:r>
      <w:r>
        <w:fldChar w:fldCharType="end"/>
      </w:r>
      <w:r>
        <w:t xml:space="preserve"> using the following R software packages: </w:t>
      </w:r>
      <w:proofErr w:type="spellStart"/>
      <w:r>
        <w:t>deSolve</w:t>
      </w:r>
      <w:proofErr w:type="spellEnd"/>
      <w:r>
        <w:t xml:space="preserve"> </w:t>
      </w:r>
      <w:r>
        <w:fldChar w:fldCharType="begin"/>
      </w:r>
      <w:r>
        <w:instrText xml:space="preserve"> ADDIN ZOTERO_ITEM CSL_CITATION {"citationID":"ebY2zXPS","properties":{"formattedCitation":"(3)","plainCitation":"(3)","noteIndex":0},"citationItems":[{"id":185,"uris":["http://zotero.org/users/2420167/items/S877G7BC"],"uri":["http://zotero.org/users/2420167/items/S877G7BC"],"itemData":{"id":185,"type":"article-journal","title":"Solving Differential Equations in R: Package deSolve","container-title":"Journal of Statistical Software","page":"1–25","volume":"33","issue":"9","DOI":"10.18637/jss.v033.i09","ISSN":"1548-7660","author":[{"family":"Soetaert","given":"Karline"},{"family":"Petzoldt","given":"Thomas"},{"family":"Setzer","given":"R. Woodrow"}],"issued":{"date-parts":[["2010"]]}}}],"schema":"https://github.com/citation-style-language/schema/raw/master/csl-citation.json"} </w:instrText>
      </w:r>
      <w:r>
        <w:fldChar w:fldCharType="separate"/>
      </w:r>
      <w:r>
        <w:rPr>
          <w:noProof/>
        </w:rPr>
        <w:t>(3)</w:t>
      </w:r>
      <w:r>
        <w:fldChar w:fldCharType="end"/>
      </w:r>
      <w:r>
        <w:t xml:space="preserve">, </w:t>
      </w:r>
      <w:proofErr w:type="spellStart"/>
      <w:r>
        <w:t>Rcpp</w:t>
      </w:r>
      <w:proofErr w:type="spellEnd"/>
      <w:r>
        <w:t xml:space="preserve"> </w:t>
      </w:r>
      <w:r>
        <w:fldChar w:fldCharType="begin"/>
      </w:r>
      <w:r>
        <w:instrText xml:space="preserve"> ADDIN ZOTERO_ITEM CSL_CITATION {"citationID":"dYcIBIZN","properties":{"formattedCitation":"(4)","plainCitation":"(4)","noteIndex":0},"citationItems":[{"id":184,"uris":["http://zotero.org/users/2420167/items/K67R393N"],"uri":["http://zotero.org/users/2420167/items/K67R393N"],"itemData":{"id":184,"type":"article-journal","title":"Rcpp: Seamless R and C++ Integration","container-title":"Journal of Statistical Software","page":"1-18","volume":"40","issue":"8","author":[{"family":"Eddelbuettel","given":"Dirk"},{"family":"Francois","given":"Romain"}],"issued":{"date-parts":[["2011"]]}}}],"schema":"https://github.com/citation-style-language/schema/raw/master/csl-citation.json"} </w:instrText>
      </w:r>
      <w:r>
        <w:fldChar w:fldCharType="separate"/>
      </w:r>
      <w:r>
        <w:rPr>
          <w:noProof/>
        </w:rPr>
        <w:t>(4)</w:t>
      </w:r>
      <w:r>
        <w:fldChar w:fldCharType="end"/>
      </w:r>
      <w:r>
        <w:t xml:space="preserve">, and lattice </w:t>
      </w:r>
      <w:r>
        <w:fldChar w:fldCharType="begin"/>
      </w:r>
      <w:r>
        <w:instrText xml:space="preserve"> ADDIN ZOTERO_ITEM CSL_CITATION {"citationID":"3LFAsUHU","properties":{"formattedCitation":"(5)","plainCitation":"(5)","noteIndex":0},"citationItems":[{"id":766,"uris":["http://zotero.org/users/2420167/items/NAWQ3PJN"],"uri":["http://zotero.org/users/2420167/items/NAWQ3PJN"],"itemData":{"id":766,"type":"book","title":"Lattice: Multivariate Data Visualization with R","publisher":"Springer","publisher-place":"New York","event-place":"New York","URL":"http://lmdvr.r-forge.r-project.org","author":[{"family":"Sarkar","given":"Deepayan"}],"issued":{"date-parts":[["2008"]]}}}],"schema":"https://github.com/citation-style-language/schema/raw/master/csl-citation.json"} </w:instrText>
      </w:r>
      <w:r>
        <w:fldChar w:fldCharType="separate"/>
      </w:r>
      <w:r>
        <w:rPr>
          <w:noProof/>
        </w:rPr>
        <w:t>(5)</w:t>
      </w:r>
      <w:r>
        <w:fldChar w:fldCharType="end"/>
      </w:r>
      <w:r>
        <w:t>.</w:t>
      </w:r>
    </w:p>
    <w:p w14:paraId="5B707407" w14:textId="77777777" w:rsidR="00432FD3" w:rsidRDefault="00432FD3" w:rsidP="00432FD3">
      <w:pPr>
        <w:pStyle w:val="Heading2"/>
      </w:pPr>
    </w:p>
    <w:p w14:paraId="5C8C67B3" w14:textId="6FDCFD89" w:rsidR="00432FD3" w:rsidRPr="00432FD3" w:rsidRDefault="00432FD3" w:rsidP="00432FD3">
      <w:pPr>
        <w:pStyle w:val="Heading2"/>
      </w:pPr>
      <w:r>
        <w:t>Model</w:t>
      </w:r>
    </w:p>
    <w:p w14:paraId="341B776A" w14:textId="17F1CC15" w:rsidR="003C1A24" w:rsidRPr="00D43D72" w:rsidRDefault="003C1A24" w:rsidP="00F55234">
      <w:pPr>
        <w:rPr>
          <w:lang w:val="en-US"/>
        </w:rPr>
      </w:pPr>
      <w:r>
        <w:rPr>
          <w:lang w:val="en-US"/>
        </w:rPr>
        <w:t>We developed a two</w:t>
      </w:r>
      <w:r w:rsidR="009606EE">
        <w:rPr>
          <w:lang w:val="en-US"/>
        </w:rPr>
        <w:t>-</w:t>
      </w:r>
      <w:r>
        <w:rPr>
          <w:lang w:val="en-US"/>
        </w:rPr>
        <w:t xml:space="preserve">patch model </w:t>
      </w:r>
      <w:r w:rsidR="00554018">
        <w:rPr>
          <w:lang w:val="en-US"/>
        </w:rPr>
        <w:t>extended</w:t>
      </w:r>
      <w:r>
        <w:rPr>
          <w:lang w:val="en-US"/>
        </w:rPr>
        <w:t xml:space="preserve"> </w:t>
      </w:r>
      <w:r w:rsidR="008C63C1">
        <w:rPr>
          <w:lang w:val="en-US"/>
        </w:rPr>
        <w:t xml:space="preserve">based </w:t>
      </w:r>
      <w:r>
        <w:rPr>
          <w:lang w:val="en-US"/>
        </w:rPr>
        <w:t>on the structure of our previous model published elsewhere</w:t>
      </w:r>
      <w:r w:rsidR="008C63C1">
        <w:rPr>
          <w:lang w:val="en-US"/>
        </w:rPr>
        <w:t xml:space="preserve"> </w:t>
      </w:r>
      <w:r w:rsidR="00180CE3">
        <w:rPr>
          <w:lang w:val="en-US"/>
        </w:rPr>
        <w:fldChar w:fldCharType="begin"/>
      </w:r>
      <w:r w:rsidR="00432FD3">
        <w:rPr>
          <w:lang w:val="en-US"/>
        </w:rPr>
        <w:instrText xml:space="preserve"> ADDIN ZOTERO_ITEM CSL_CITATION {"citationID":"izszRJEK","properties":{"formattedCitation":"(6)","plainCitation":"(6)","noteIndex":0},"citationItems":[{"id":726,"uris":["http://zotero.org/users/2420167/items/Y2VH59X2"],"uri":["http://zotero.org/users/2420167/items/Y2VH59X2"],"itemData":{"id":726,"type":"article-journal","title":"Towards malaria elimination in Savannakhet, Lao PDR: mathematical modelling driven strategy design","container-title":"Malaria Journal","page":"483","volume":"16","issue":"1","abstract":"The number of Plasmodium falciparum malaria cases around the world has decreased substantially over the last 15 years, but with the spread of resistance against anti-malarial drugs and insecticides, this decline may not continue. There is an urgent need to consider alternative, accelerated strategies to eliminate malaria in countries like Lao PDR, where there are a few remaining endemic areas. A deterministic compartmental modelling tool was used to develop an integrated strategy for P. falciparum elimination in the Savannakhet province of Lao PDR. The model was designed to include key aspects of malaria transmission and integrated control measures, along with a user-friendly interface.","DOI":"10.1186/s12936-017-2130-3","ISSN":"1475-2875","journalAbbreviation":"Malaria Journal","author":[{"family":"Tun","given":"Sai Thein Than"},{"family":"Seidlein","given":"Lorenz","non-dropping-particle":"von"},{"family":"Pongvongsa","given":"Tiengkham"},{"family":"Mayxay","given":"Mayfong"},{"family":"Saralamba","given":"Sompob"},{"family":"Kyaw","given":"Shwe Sin"},{"family":"Chanthavilay","given":"Phetsavanh"},{"family":"Celhay","given":"Olivier"},{"family":"Nguyen","given":"Tran Dang"},{"family":"Tran","given":"Thu Nguyen-Anh"},{"family":"Parker","given":"Daniel M."},{"family":"Boni","given":"Maciej F."},{"family":"Dondorp","given":"Arjen M."},{"family":"White","given":"Lisa J."}],"issued":{"date-parts":[["2017",11,28]]}}}],"schema":"https://github.com/citation-style-language/schema/raw/master/csl-citation.json"} </w:instrText>
      </w:r>
      <w:r w:rsidR="00180CE3">
        <w:rPr>
          <w:lang w:val="en-US"/>
        </w:rPr>
        <w:fldChar w:fldCharType="separate"/>
      </w:r>
      <w:r w:rsidR="00432FD3">
        <w:rPr>
          <w:noProof/>
          <w:lang w:val="en-US"/>
        </w:rPr>
        <w:t>(6)</w:t>
      </w:r>
      <w:r w:rsidR="00180CE3">
        <w:rPr>
          <w:lang w:val="en-US"/>
        </w:rPr>
        <w:fldChar w:fldCharType="end"/>
      </w:r>
      <w:r>
        <w:rPr>
          <w:lang w:val="en-US"/>
        </w:rPr>
        <w:t xml:space="preserve">. </w:t>
      </w:r>
      <w:r w:rsidR="00554018">
        <w:rPr>
          <w:lang w:val="en-US"/>
        </w:rPr>
        <w:t>The model include</w:t>
      </w:r>
      <w:r w:rsidR="009F399A">
        <w:rPr>
          <w:lang w:val="en-US"/>
        </w:rPr>
        <w:t>d</w:t>
      </w:r>
      <w:r w:rsidR="00554018">
        <w:rPr>
          <w:lang w:val="en-US"/>
        </w:rPr>
        <w:t xml:space="preserve"> 8 compartments for each patch</w:t>
      </w:r>
      <w:r w:rsidR="00D43D72">
        <w:rPr>
          <w:lang w:val="en-US"/>
        </w:rPr>
        <w:t xml:space="preserve">. There </w:t>
      </w:r>
      <w:r w:rsidR="009F399A">
        <w:rPr>
          <w:lang w:val="en-US"/>
        </w:rPr>
        <w:t>we</w:t>
      </w:r>
      <w:r w:rsidR="00D43D72">
        <w:rPr>
          <w:lang w:val="en-US"/>
        </w:rPr>
        <w:t>re two types of susceptible compartments: Susceptible with antimalarial drug (S</w:t>
      </w:r>
      <w:r w:rsidR="00D43D72" w:rsidRPr="00D43D72">
        <w:rPr>
          <w:vertAlign w:val="subscript"/>
          <w:lang w:val="en-US"/>
        </w:rPr>
        <w:t>D</w:t>
      </w:r>
      <w:r w:rsidR="00D43D72">
        <w:rPr>
          <w:lang w:val="en-US"/>
        </w:rPr>
        <w:t xml:space="preserve">), and those without drug (S). Likewise, there </w:t>
      </w:r>
      <w:r w:rsidR="009F399A">
        <w:rPr>
          <w:lang w:val="en-US"/>
        </w:rPr>
        <w:t>we</w:t>
      </w:r>
      <w:r w:rsidR="00D43D72">
        <w:rPr>
          <w:lang w:val="en-US"/>
        </w:rPr>
        <w:t>re two types of recovered compartments: R</w:t>
      </w:r>
      <w:r w:rsidR="00D43D72" w:rsidRPr="00D43D72">
        <w:rPr>
          <w:vertAlign w:val="subscript"/>
          <w:lang w:val="en-US"/>
        </w:rPr>
        <w:t>D</w:t>
      </w:r>
      <w:r w:rsidR="00D43D72">
        <w:rPr>
          <w:lang w:val="en-US"/>
        </w:rPr>
        <w:t xml:space="preserve"> and R. </w:t>
      </w:r>
      <w:r w:rsidR="008C63C1">
        <w:rPr>
          <w:lang w:val="en-US"/>
        </w:rPr>
        <w:t xml:space="preserve">Infected compartment </w:t>
      </w:r>
      <w:r w:rsidR="009F399A">
        <w:rPr>
          <w:lang w:val="en-US"/>
        </w:rPr>
        <w:t>wa</w:t>
      </w:r>
      <w:r w:rsidR="008C63C1">
        <w:rPr>
          <w:lang w:val="en-US"/>
        </w:rPr>
        <w:t>s divided into three sub-compartments: I</w:t>
      </w:r>
      <w:r w:rsidR="008C63C1" w:rsidRPr="008C63C1">
        <w:rPr>
          <w:vertAlign w:val="subscript"/>
          <w:lang w:val="en-US"/>
        </w:rPr>
        <w:t>C</w:t>
      </w:r>
      <w:r w:rsidR="008C63C1">
        <w:rPr>
          <w:lang w:val="en-US"/>
        </w:rPr>
        <w:t xml:space="preserve"> represent</w:t>
      </w:r>
      <w:r w:rsidR="009F399A">
        <w:rPr>
          <w:lang w:val="en-US"/>
        </w:rPr>
        <w:t>ed</w:t>
      </w:r>
      <w:r w:rsidR="008C63C1">
        <w:rPr>
          <w:lang w:val="en-US"/>
        </w:rPr>
        <w:t xml:space="preserve"> clinical cases, I</w:t>
      </w:r>
      <w:r w:rsidR="008C63C1" w:rsidRPr="008C63C1">
        <w:rPr>
          <w:vertAlign w:val="subscript"/>
          <w:lang w:val="en-US"/>
        </w:rPr>
        <w:t>A</w:t>
      </w:r>
      <w:r w:rsidR="008C63C1">
        <w:rPr>
          <w:lang w:val="en-US"/>
        </w:rPr>
        <w:t xml:space="preserve"> represent</w:t>
      </w:r>
      <w:r w:rsidR="009F399A">
        <w:rPr>
          <w:lang w:val="en-US"/>
        </w:rPr>
        <w:t>ed</w:t>
      </w:r>
      <w:r w:rsidR="008C63C1">
        <w:rPr>
          <w:lang w:val="en-US"/>
        </w:rPr>
        <w:t xml:space="preserve"> the cases that </w:t>
      </w:r>
      <w:r w:rsidR="009F399A">
        <w:rPr>
          <w:lang w:val="en-US"/>
        </w:rPr>
        <w:t>we</w:t>
      </w:r>
      <w:r w:rsidR="008C63C1">
        <w:rPr>
          <w:lang w:val="en-US"/>
        </w:rPr>
        <w:t>re asymptomatic, but detectable through microscopy and RDT, and I</w:t>
      </w:r>
      <w:r w:rsidR="008C63C1" w:rsidRPr="008C63C1">
        <w:rPr>
          <w:vertAlign w:val="subscript"/>
          <w:lang w:val="en-US"/>
        </w:rPr>
        <w:t>U</w:t>
      </w:r>
      <w:r w:rsidR="008C63C1">
        <w:rPr>
          <w:lang w:val="en-US"/>
        </w:rPr>
        <w:t xml:space="preserve"> represent</w:t>
      </w:r>
      <w:r w:rsidR="009F399A">
        <w:rPr>
          <w:lang w:val="en-US"/>
        </w:rPr>
        <w:t>ed</w:t>
      </w:r>
      <w:r w:rsidR="008C63C1">
        <w:rPr>
          <w:lang w:val="en-US"/>
        </w:rPr>
        <w:t xml:space="preserve"> the cases that </w:t>
      </w:r>
      <w:r w:rsidR="009F399A">
        <w:rPr>
          <w:lang w:val="en-US"/>
        </w:rPr>
        <w:t>we</w:t>
      </w:r>
      <w:r w:rsidR="008C63C1">
        <w:rPr>
          <w:lang w:val="en-US"/>
        </w:rPr>
        <w:t>re asymptomatic and undetectable through microscopy and RDT.</w:t>
      </w:r>
      <w:r w:rsidR="00BD6F5D">
        <w:rPr>
          <w:lang w:val="en-US"/>
        </w:rPr>
        <w:t xml:space="preserve"> There </w:t>
      </w:r>
      <w:r w:rsidR="009F399A">
        <w:rPr>
          <w:lang w:val="en-US"/>
        </w:rPr>
        <w:t>wa</w:t>
      </w:r>
      <w:r w:rsidR="00BD6F5D">
        <w:rPr>
          <w:lang w:val="en-US"/>
        </w:rPr>
        <w:t>s a single treatment compartment (T) to accommodate those from infected compartment who g</w:t>
      </w:r>
      <w:r w:rsidR="009F399A">
        <w:rPr>
          <w:lang w:val="en-US"/>
        </w:rPr>
        <w:t>o</w:t>
      </w:r>
      <w:r w:rsidR="00BD6F5D">
        <w:rPr>
          <w:lang w:val="en-US"/>
        </w:rPr>
        <w:t>t treated. Details of the model structure can be seen in the appendix [].</w:t>
      </w:r>
    </w:p>
    <w:p w14:paraId="30E98DFF" w14:textId="132775C6" w:rsidR="003C1A24" w:rsidRDefault="003C1A24" w:rsidP="00F55234">
      <w:pPr>
        <w:rPr>
          <w:lang w:val="en-US"/>
        </w:rPr>
      </w:pPr>
    </w:p>
    <w:p w14:paraId="4B7C68AC" w14:textId="25697549" w:rsidR="00282BB6" w:rsidRDefault="00282BB6" w:rsidP="00F55234">
      <w:pPr>
        <w:rPr>
          <w:lang w:val="en-US"/>
        </w:rPr>
      </w:pPr>
      <w:r>
        <w:rPr>
          <w:lang w:val="en-US"/>
        </w:rPr>
        <w:t>Force of infection terms (</w:t>
      </w:r>
      <w:r>
        <w:rPr>
          <w:lang w:val="en-US"/>
        </w:rPr>
        <w:sym w:font="Symbol" w:char="F06C"/>
      </w:r>
      <w:r>
        <w:rPr>
          <w:lang w:val="en-US"/>
        </w:rPr>
        <w:t>) in the</w:t>
      </w:r>
      <w:r w:rsidR="008C63C1">
        <w:rPr>
          <w:lang w:val="en-US"/>
        </w:rPr>
        <w:t xml:space="preserve"> two patches </w:t>
      </w:r>
      <w:r>
        <w:rPr>
          <w:lang w:val="en-US"/>
        </w:rPr>
        <w:t>influence each other by having the weighted contribution of infected cases from the other patch</w:t>
      </w:r>
      <w:r w:rsidR="00111739">
        <w:rPr>
          <w:lang w:val="en-US"/>
        </w:rPr>
        <w:t xml:space="preserve"> experiencing the average effective contact rates in the two patches</w:t>
      </w:r>
      <w:r>
        <w:rPr>
          <w:lang w:val="en-US"/>
        </w:rPr>
        <w:t>.</w:t>
      </w:r>
    </w:p>
    <w:p w14:paraId="672A7287" w14:textId="77777777" w:rsidR="00992F8A" w:rsidRPr="00CD3533" w:rsidRDefault="00B837C8" w:rsidP="00992F8A">
      <w:pPr>
        <w:rPr>
          <w:rFonts w:asciiTheme="majorHAnsi" w:eastAsiaTheme="majorEastAsia" w:hAnsiTheme="majorHAnsi"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λ</m:t>
              </m:r>
            </m:e>
            <m:sub>
              <m:r>
                <w:rPr>
                  <w:rFonts w:ascii="Cambria Math" w:eastAsiaTheme="majorEastAsia" w:hAnsi="Cambria Math" w:cstheme="majorBidi"/>
                </w:rPr>
                <m:t>i</m:t>
              </m:r>
            </m:sub>
          </m:sSub>
          <m:r>
            <w:rPr>
              <w:rFonts w:ascii="Cambria Math" w:eastAsiaTheme="majorEastAsia" w:hAnsi="Cambria Math" w:cstheme="majorBidi"/>
            </w:rPr>
            <m:t>=</m:t>
          </m:r>
          <m:sSub>
            <m:sSubPr>
              <m:ctrlPr>
                <w:rPr>
                  <w:rFonts w:ascii="Cambria Math" w:eastAsiaTheme="majorEastAsia" w:hAnsi="Cambria Math" w:cstheme="majorBidi"/>
                  <w:i/>
                </w:rPr>
              </m:ctrlPr>
            </m:sSubPr>
            <m:e>
              <m:d>
                <m:dPr>
                  <m:ctrlPr>
                    <w:rPr>
                      <w:rFonts w:ascii="Cambria Math" w:eastAsiaTheme="majorEastAsia" w:hAnsi="Cambria Math" w:cstheme="majorBidi"/>
                      <w:i/>
                    </w:rPr>
                  </m:ctrlPr>
                </m:dPr>
                <m:e>
                  <m:r>
                    <w:rPr>
                      <w:rFonts w:ascii="Cambria Math" w:eastAsiaTheme="majorEastAsia" w:hAnsi="Cambria Math" w:cstheme="majorBidi"/>
                    </w:rPr>
                    <m:t>1-H</m:t>
                  </m:r>
                </m:e>
              </m:d>
              <m:r>
                <w:rPr>
                  <w:rFonts w:ascii="Cambria Math" w:eastAsiaTheme="majorEastAsia" w:hAnsi="Cambria Math" w:cstheme="majorBidi"/>
                </w:rPr>
                <m:t xml:space="preserve"> β</m:t>
              </m:r>
            </m:e>
            <m:sub>
              <m:r>
                <w:rPr>
                  <w:rFonts w:ascii="Cambria Math" w:eastAsiaTheme="majorEastAsia" w:hAnsi="Cambria Math" w:cstheme="majorBidi"/>
                </w:rPr>
                <m:t>i</m:t>
              </m:r>
            </m:sub>
          </m:sSub>
          <m:d>
            <m:dPr>
              <m:ctrlPr>
                <w:rPr>
                  <w:rFonts w:ascii="Cambria Math" w:eastAsiaTheme="majorEastAsia" w:hAnsi="Cambria Math" w:cstheme="majorBidi"/>
                  <w:i/>
                </w:rPr>
              </m:ctrlPr>
            </m:dPr>
            <m:e>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I</m:t>
                      </m:r>
                    </m:e>
                    <m:sub>
                      <m:r>
                        <w:rPr>
                          <w:rFonts w:ascii="Cambria Math" w:eastAsiaTheme="majorEastAsia" w:hAnsi="Cambria Math" w:cstheme="majorBidi"/>
                        </w:rPr>
                        <m:t>i</m:t>
                      </m:r>
                    </m:sub>
                  </m:sSub>
                </m:num>
                <m:den>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i</m:t>
                      </m:r>
                    </m:sub>
                  </m:sSub>
                </m:den>
              </m:f>
            </m:e>
          </m:d>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H</m:t>
              </m:r>
            </m:num>
            <m:den>
              <m:r>
                <w:rPr>
                  <w:rFonts w:ascii="Cambria Math" w:eastAsiaTheme="majorEastAsia" w:hAnsi="Cambria Math" w:cstheme="majorBidi"/>
                </w:rPr>
                <m:t>2</m:t>
              </m:r>
            </m:den>
          </m:f>
          <m:f>
            <m:fPr>
              <m:ctrlPr>
                <w:rPr>
                  <w:rFonts w:ascii="Cambria Math" w:eastAsiaTheme="majorEastAsia" w:hAnsi="Cambria Math" w:cstheme="majorBidi"/>
                  <w:i/>
                </w:rPr>
              </m:ctrlPr>
            </m:fPr>
            <m:num>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2</m:t>
                      </m:r>
                    </m:sub>
                  </m:sSub>
                </m:e>
              </m:d>
              <m:r>
                <w:rPr>
                  <w:rFonts w:ascii="Cambria Math" w:eastAsiaTheme="majorEastAsia" w:hAnsi="Cambria Math" w:cstheme="majorBidi"/>
                </w:rPr>
                <m:t xml:space="preserve"> </m:t>
              </m:r>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I</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I</m:t>
                      </m:r>
                    </m:e>
                    <m:sub>
                      <m:r>
                        <w:rPr>
                          <w:rFonts w:ascii="Cambria Math" w:eastAsiaTheme="majorEastAsia" w:hAnsi="Cambria Math" w:cstheme="majorBidi"/>
                        </w:rPr>
                        <m:t>2</m:t>
                      </m:r>
                    </m:sub>
                  </m:sSub>
                </m:e>
              </m:d>
            </m:num>
            <m:den>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2</m:t>
                      </m:r>
                    </m:sub>
                  </m:sSub>
                </m:e>
              </m:d>
            </m:den>
          </m:f>
        </m:oMath>
      </m:oMathPara>
    </w:p>
    <w:p w14:paraId="11146585" w14:textId="77777777" w:rsidR="00992F8A" w:rsidRPr="00992F8A" w:rsidRDefault="00992F8A" w:rsidP="00F55234">
      <w:pPr>
        <w:rPr>
          <w:rFonts w:eastAsiaTheme="minorEastAsia"/>
        </w:rPr>
      </w:pPr>
    </w:p>
    <w:p w14:paraId="1F60945A" w14:textId="77777777" w:rsidR="00992F8A" w:rsidRDefault="00992F8A" w:rsidP="00F55234">
      <w:pPr>
        <w:rPr>
          <w:lang w:val="en-US"/>
        </w:rPr>
      </w:pPr>
    </w:p>
    <w:p w14:paraId="6BDDDC0F" w14:textId="55B367CE" w:rsidR="008C63C1" w:rsidRDefault="009278BC" w:rsidP="00F55234">
      <w:pPr>
        <w:rPr>
          <w:rFonts w:eastAsiaTheme="minorEastAsia"/>
          <w:lang w:val="en-US"/>
        </w:rPr>
      </w:pPr>
      <w:r>
        <w:rPr>
          <w:lang w:val="en-US"/>
        </w:rPr>
        <w:t xml:space="preserve">where P is the total population, </w:t>
      </w:r>
      <m:oMath>
        <m:r>
          <w:rPr>
            <w:rFonts w:ascii="Cambria Math" w:hAnsi="Cambria Math"/>
            <w:lang w:val="en-US"/>
          </w:rPr>
          <m:t>β</m:t>
        </m:r>
      </m:oMath>
      <w:r>
        <w:rPr>
          <w:lang w:val="en-US"/>
        </w:rPr>
        <w:t xml:space="preserve"> is the effective </w:t>
      </w:r>
      <w:r w:rsidR="00EE7BE9">
        <w:rPr>
          <w:lang w:val="en-US"/>
        </w:rPr>
        <w:t>biting</w:t>
      </w:r>
      <w:r>
        <w:rPr>
          <w:lang w:val="en-US"/>
        </w:rPr>
        <w:t xml:space="preserve"> rate</w:t>
      </w:r>
      <w:r w:rsidR="00EE7BE9">
        <w:rPr>
          <w:lang w:val="en-US"/>
        </w:rPr>
        <w:t xml:space="preserve"> adjusted by vector interventions</w:t>
      </w:r>
      <w:r>
        <w:rPr>
          <w:lang w:val="en-US"/>
        </w:rPr>
        <w:t xml:space="preserve">, </w:t>
      </w:r>
      <m:oMath>
        <m:r>
          <w:rPr>
            <w:rFonts w:ascii="Cambria Math" w:hAnsi="Cambria Math"/>
            <w:lang w:val="en-US"/>
          </w:rPr>
          <m:t>I</m:t>
        </m:r>
      </m:oMath>
      <w:r>
        <w:rPr>
          <w:rFonts w:eastAsiaTheme="minorEastAsia"/>
          <w:lang w:val="en-US"/>
        </w:rPr>
        <w:t xml:space="preserve"> is the representation of Infected compartments</w:t>
      </w:r>
      <w:r>
        <w:rPr>
          <w:lang w:val="en-US"/>
        </w:rPr>
        <w:t xml:space="preserve"> in the corresponding patch. Different types of </w:t>
      </w:r>
      <m:oMath>
        <m:r>
          <w:rPr>
            <w:rFonts w:ascii="Cambria Math" w:hAnsi="Cambria Math"/>
            <w:lang w:val="en-US"/>
          </w:rPr>
          <m:t>I</m:t>
        </m:r>
      </m:oMath>
      <w:r>
        <w:rPr>
          <w:lang w:val="en-US"/>
        </w:rPr>
        <w:t xml:space="preserve"> compartment has different infectiousness, but for simplicity, only one </w:t>
      </w:r>
      <m:oMath>
        <m:r>
          <w:rPr>
            <w:rFonts w:ascii="Cambria Math" w:hAnsi="Cambria Math"/>
            <w:lang w:val="en-US"/>
          </w:rPr>
          <m:t>I</m:t>
        </m:r>
      </m:oMath>
      <w:r>
        <w:rPr>
          <w:rFonts w:eastAsiaTheme="minorEastAsia"/>
          <w:lang w:val="en-US"/>
        </w:rPr>
        <w:t xml:space="preserve"> compartment for each patch is represented in the equation.</w:t>
      </w:r>
      <w:r>
        <w:rPr>
          <w:lang w:val="en-US"/>
        </w:rPr>
        <w:t xml:space="preserve"> </w:t>
      </w:r>
      <m:oMath>
        <m:r>
          <w:rPr>
            <w:rFonts w:ascii="Cambria Math" w:hAnsi="Cambria Math"/>
            <w:lang w:val="en-US"/>
          </w:rPr>
          <m:t>H</m:t>
        </m:r>
      </m:oMath>
      <w:r>
        <w:rPr>
          <w:rFonts w:eastAsiaTheme="minorEastAsia"/>
          <w:lang w:val="en-US"/>
        </w:rPr>
        <w:t xml:space="preserve"> is the </w:t>
      </w:r>
      <w:r w:rsidR="00EE7BE9">
        <w:rPr>
          <w:rFonts w:eastAsiaTheme="minorEastAsia"/>
          <w:lang w:val="en-US"/>
        </w:rPr>
        <w:t xml:space="preserve">level of </w:t>
      </w:r>
      <w:r>
        <w:rPr>
          <w:rFonts w:eastAsiaTheme="minorEastAsia"/>
          <w:lang w:val="en-US"/>
        </w:rPr>
        <w:t>connect</w:t>
      </w:r>
      <w:r w:rsidR="00BD6F5D">
        <w:rPr>
          <w:rFonts w:eastAsiaTheme="minorEastAsia"/>
          <w:lang w:val="en-US"/>
        </w:rPr>
        <w:t>edness</w:t>
      </w:r>
      <w:r>
        <w:rPr>
          <w:rFonts w:eastAsiaTheme="minorEastAsia"/>
          <w:lang w:val="en-US"/>
        </w:rPr>
        <w:t xml:space="preserve"> between the two patches, with 0</w:t>
      </w:r>
      <w:r w:rsidR="00BD6F5D">
        <w:rPr>
          <w:rFonts w:eastAsiaTheme="minorEastAsia"/>
          <w:lang w:val="en-US"/>
        </w:rPr>
        <w:t xml:space="preserve"> representing no connect</w:t>
      </w:r>
      <w:r w:rsidR="00EE7BE9">
        <w:rPr>
          <w:rFonts w:eastAsiaTheme="minorEastAsia"/>
          <w:lang w:val="en-US"/>
        </w:rPr>
        <w:t>edness</w:t>
      </w:r>
      <w:r w:rsidR="00BD6F5D">
        <w:rPr>
          <w:rFonts w:eastAsiaTheme="minorEastAsia"/>
          <w:lang w:val="en-US"/>
        </w:rPr>
        <w:t xml:space="preserve"> and 1 representing 100% </w:t>
      </w:r>
      <w:proofErr w:type="gramStart"/>
      <w:r w:rsidR="00BD6F5D">
        <w:rPr>
          <w:rFonts w:eastAsiaTheme="minorEastAsia"/>
          <w:lang w:val="en-US"/>
        </w:rPr>
        <w:t>connect</w:t>
      </w:r>
      <w:r w:rsidR="00EE7BE9">
        <w:rPr>
          <w:rFonts w:eastAsiaTheme="minorEastAsia"/>
          <w:lang w:val="en-US"/>
        </w:rPr>
        <w:t>edness</w:t>
      </w:r>
      <w:r>
        <w:rPr>
          <w:rFonts w:eastAsiaTheme="minorEastAsia"/>
          <w:lang w:val="en-US"/>
        </w:rPr>
        <w:t>.</w:t>
      </w:r>
      <w:proofErr w:type="gramEnd"/>
      <w:r>
        <w:rPr>
          <w:rFonts w:eastAsiaTheme="minorEastAsia"/>
          <w:lang w:val="en-US"/>
        </w:rPr>
        <w:t xml:space="preserve"> </w:t>
      </w:r>
    </w:p>
    <w:p w14:paraId="5EA239C7" w14:textId="108F6F5F" w:rsidR="00111739" w:rsidRDefault="00111739" w:rsidP="00F55234">
      <w:pPr>
        <w:rPr>
          <w:lang w:val="en-US"/>
        </w:rPr>
      </w:pPr>
      <w:r w:rsidRPr="00EC7D6A">
        <w:rPr>
          <w:noProof/>
        </w:rPr>
        <w:lastRenderedPageBreak/>
        <w:drawing>
          <wp:inline distT="0" distB="0" distL="0" distR="0" wp14:anchorId="69B04E73" wp14:editId="2BBE81CC">
            <wp:extent cx="1908863" cy="13329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548" t="9725" r="31831" b="18743"/>
                    <a:stretch/>
                  </pic:blipFill>
                  <pic:spPr bwMode="auto">
                    <a:xfrm>
                      <a:off x="0" y="0"/>
                      <a:ext cx="1919852" cy="1340640"/>
                    </a:xfrm>
                    <a:prstGeom prst="rect">
                      <a:avLst/>
                    </a:prstGeom>
                    <a:ln>
                      <a:noFill/>
                    </a:ln>
                    <a:extLst>
                      <a:ext uri="{53640926-AAD7-44D8-BBD7-CCE9431645EC}">
                        <a14:shadowObscured xmlns:a14="http://schemas.microsoft.com/office/drawing/2010/main"/>
                      </a:ext>
                    </a:extLst>
                  </pic:spPr>
                </pic:pic>
              </a:graphicData>
            </a:graphic>
          </wp:inline>
        </w:drawing>
      </w:r>
    </w:p>
    <w:p w14:paraId="5D3AB5ED" w14:textId="7F29E372" w:rsidR="008C63C1" w:rsidRDefault="008C63C1" w:rsidP="00F55234">
      <w:pPr>
        <w:rPr>
          <w:lang w:val="en-US"/>
        </w:rPr>
      </w:pPr>
    </w:p>
    <w:p w14:paraId="4591A313" w14:textId="77777777" w:rsidR="00530087" w:rsidRDefault="00530087" w:rsidP="00F55234">
      <w:pPr>
        <w:rPr>
          <w:lang w:val="en-US"/>
        </w:rPr>
      </w:pPr>
    </w:p>
    <w:p w14:paraId="39135276" w14:textId="7E8B97BF" w:rsidR="00111739" w:rsidRDefault="00111739" w:rsidP="00111739">
      <w:pPr>
        <w:pStyle w:val="Heading2"/>
        <w:rPr>
          <w:lang w:val="en-US"/>
        </w:rPr>
      </w:pPr>
      <w:r>
        <w:rPr>
          <w:lang w:val="en-US"/>
        </w:rPr>
        <w:t>Interventions</w:t>
      </w:r>
    </w:p>
    <w:p w14:paraId="4493E9AE" w14:textId="77777777" w:rsidR="00111739" w:rsidRDefault="00111739" w:rsidP="00111739">
      <w:pPr>
        <w:rPr>
          <w:lang w:val="en-US"/>
        </w:rPr>
      </w:pPr>
      <w:r>
        <w:rPr>
          <w:lang w:val="en-US"/>
        </w:rPr>
        <w:t>EDAT, MDA (including primaquine), LLIN and MSAT are included as interventions. MSAT for migrants may not be implemented in Karen state, but it could be the same effect when surrounding areas are also eliminated of malaria at the same time and there’s less and less importation. It is the imported cases that keep the transmission at equilibrium in the first place.</w:t>
      </w:r>
    </w:p>
    <w:p w14:paraId="0673DF74" w14:textId="3C24149D" w:rsidR="00FD5D3B" w:rsidRDefault="00C3568D" w:rsidP="00111739">
      <w:pPr>
        <w:rPr>
          <w:lang w:val="en-US"/>
        </w:rPr>
      </w:pPr>
      <w:r>
        <w:rPr>
          <w:lang w:val="en-US"/>
        </w:rPr>
        <w:t>Three monthly MDA rounds are modeled as an MDA round that spanned over 3 months which is</w:t>
      </w:r>
      <w:r w:rsidR="00F44D9E">
        <w:rPr>
          <w:lang w:val="en-US"/>
        </w:rPr>
        <w:t xml:space="preserve"> a time dependent term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oMath>
      <w:r w:rsidR="00F44D9E">
        <w:rPr>
          <w:rFonts w:eastAsiaTheme="minorEastAsia"/>
          <w:lang w:val="en-US"/>
        </w:rPr>
        <w:t xml:space="preserve"> such that </w:t>
      </w:r>
      <m:oMath>
        <m:sSub>
          <m:sSubPr>
            <m:ctrlPr>
              <w:rPr>
                <w:rFonts w:ascii="Cambria Math" w:eastAsia="Times New Roman" w:hAnsi="Cambria Math" w:cs="Times New Roman"/>
                <w:i/>
                <w:color w:val="000000"/>
                <w:sz w:val="22"/>
                <w:szCs w:val="22"/>
                <w:lang w:val="en-US"/>
              </w:rPr>
            </m:ctrlPr>
          </m:sSubPr>
          <m:e>
            <m:r>
              <w:rPr>
                <w:rFonts w:ascii="Cambria Math" w:eastAsia="Times New Roman" w:hAnsi="Cambria Math" w:cs="Times New Roman"/>
                <w:color w:val="000000"/>
                <w:sz w:val="22"/>
                <w:szCs w:val="22"/>
                <w:lang w:val="en-US"/>
              </w:rPr>
              <m:t>m</m:t>
            </m:r>
          </m:e>
          <m:sub>
            <m:r>
              <w:rPr>
                <w:rFonts w:ascii="Cambria Math" w:eastAsia="Times New Roman" w:hAnsi="Cambria Math" w:cs="Times New Roman"/>
                <w:color w:val="000000"/>
                <w:sz w:val="22"/>
                <w:szCs w:val="22"/>
                <w:lang w:val="en-US"/>
              </w:rPr>
              <m:t>i</m:t>
            </m:r>
          </m:sub>
        </m:sSub>
        <m:r>
          <w:rPr>
            <w:rFonts w:ascii="Cambria Math" w:eastAsia="Times New Roman" w:hAnsi="Cambria Math" w:cs="Times New Roman"/>
            <w:color w:val="000000"/>
            <w:sz w:val="22"/>
            <w:szCs w:val="22"/>
            <w:lang w:val="en-US"/>
          </w:rPr>
          <m:t>=</m:t>
        </m:r>
        <m:r>
          <w:rPr>
            <w:rFonts w:ascii="Cambria Math" w:hAnsi="Cambria Math"/>
            <w:color w:val="000000" w:themeColor="text1"/>
          </w:rPr>
          <m:t>-</m:t>
        </m:r>
        <m:f>
          <m:fPr>
            <m:ctrlPr>
              <w:rPr>
                <w:rFonts w:ascii="Cambria Math" w:hAnsi="Cambria Math"/>
                <w:i/>
                <w:color w:val="000000" w:themeColor="text1"/>
              </w:rPr>
            </m:ctrlPr>
          </m:fPr>
          <m:num>
            <m:func>
              <m:funcPr>
                <m:ctrlPr>
                  <w:rPr>
                    <w:rFonts w:ascii="Cambria Math" w:hAnsi="Cambria Math"/>
                    <w:color w:val="000000" w:themeColor="text1"/>
                  </w:rPr>
                </m:ctrlPr>
              </m:funcPr>
              <m:fName>
                <m:r>
                  <m:rPr>
                    <m:sty m:val="p"/>
                  </m:rPr>
                  <w:rPr>
                    <w:rFonts w:ascii="Cambria Math" w:hAnsi="Cambria Math"/>
                    <w:color w:val="000000" w:themeColor="text1"/>
                  </w:rPr>
                  <m:t>ln</m:t>
                </m:r>
                <m:ctrlPr>
                  <w:rPr>
                    <w:rFonts w:ascii="Cambria Math" w:hAnsi="Cambria Math"/>
                    <w:i/>
                    <w:color w:val="000000" w:themeColor="text1"/>
                  </w:rPr>
                </m:ctrlPr>
              </m:fName>
              <m:e>
                <m:d>
                  <m:dPr>
                    <m:ctrlPr>
                      <w:rPr>
                        <w:rFonts w:ascii="Cambria Math" w:hAnsi="Cambria Math"/>
                        <w:i/>
                        <w:color w:val="000000" w:themeColor="text1"/>
                      </w:rPr>
                    </m:ctrlPr>
                  </m:dPr>
                  <m:e>
                    <m:r>
                      <w:rPr>
                        <w:rFonts w:ascii="Cambria Math" w:hAnsi="Cambria Math"/>
                        <w:color w:val="000000" w:themeColor="text1"/>
                      </w:rPr>
                      <m:t>1-</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κ</m:t>
                            </m:r>
                          </m:e>
                          <m:sub>
                            <m:r>
                              <w:rPr>
                                <w:rFonts w:ascii="Cambria Math" w:hAnsi="Cambria Math"/>
                                <w:color w:val="000000" w:themeColor="text1"/>
                              </w:rPr>
                              <m:t>m</m:t>
                            </m:r>
                          </m:sub>
                        </m:sSub>
                      </m:e>
                      <m:sub>
                        <m:r>
                          <w:rPr>
                            <w:rFonts w:ascii="Cambria Math" w:hAnsi="Cambria Math"/>
                            <w:color w:val="000000" w:themeColor="text1"/>
                          </w:rPr>
                          <m:t>i</m:t>
                        </m:r>
                      </m:sub>
                    </m:sSub>
                  </m:e>
                </m:d>
              </m:e>
            </m:func>
          </m:num>
          <m:den>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MDA</m:t>
                </m:r>
              </m:sub>
            </m:sSub>
          </m:den>
        </m:f>
        <m:r>
          <w:rPr>
            <w:rFonts w:ascii="Cambria Math" w:hAnsi="Cambria Math"/>
            <w:color w:val="000000" w:themeColor="text1"/>
          </w:rPr>
          <m:t>,</m:t>
        </m:r>
      </m:oMath>
      <w:r w:rsidR="00F44D9E">
        <w:rPr>
          <w:rFonts w:eastAsiaTheme="minorEastAsia"/>
          <w:color w:val="000000" w:themeColor="text1"/>
        </w:rPr>
        <w:t xml:space="preserve"> when </w:t>
      </w:r>
      <w:r w:rsidR="00F44D9E">
        <w:rPr>
          <w:rFonts w:ascii="Calibri" w:eastAsia="Times New Roman" w:hAnsi="Calibri" w:cs="Times New Roman"/>
          <w:color w:val="000000" w:themeColor="text1"/>
        </w:rPr>
        <w:t xml:space="preserve">time is within the period between start and end of the three months of MDA,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=0</m:t>
        </m:r>
      </m:oMath>
      <w:r w:rsidR="00F44D9E">
        <w:rPr>
          <w:rFonts w:ascii="Calibri" w:eastAsia="Times New Roman" w:hAnsi="Calibri" w:cs="Times New Roman"/>
          <w:color w:val="000000" w:themeColor="text1"/>
        </w:rPr>
        <w:t xml:space="preserve"> otherwise.</w:t>
      </w:r>
      <w:r w:rsidR="00F44D9E">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d</m:t>
            </m:r>
          </m:e>
          <m:sub>
            <m:r>
              <w:rPr>
                <w:rFonts w:ascii="Cambria Math" w:eastAsiaTheme="minorEastAsia" w:hAnsi="Cambria Math"/>
                <w:color w:val="000000" w:themeColor="text1"/>
              </w:rPr>
              <m:t>MDA</m:t>
            </m:r>
          </m:sub>
        </m:sSub>
        <m:r>
          <w:rPr>
            <w:rFonts w:ascii="Cambria Math" w:eastAsiaTheme="minorEastAsia" w:hAnsi="Cambria Math"/>
            <w:color w:val="000000" w:themeColor="text1"/>
          </w:rPr>
          <m:t xml:space="preserve"> </m:t>
        </m:r>
      </m:oMath>
      <w:r>
        <w:rPr>
          <w:rFonts w:eastAsiaTheme="minorEastAsia"/>
          <w:color w:val="000000" w:themeColor="text1"/>
        </w:rPr>
        <w:t>is the duration of the MDA which is 3 months.</w:t>
      </w:r>
      <w:r w:rsidR="00F44D9E">
        <w:rPr>
          <w:rFonts w:eastAsiaTheme="minorEastAsia"/>
          <w:color w:val="000000" w:themeColor="text1"/>
        </w:rPr>
        <w:t xml:space="preserve"> </w:t>
      </w:r>
      <m:oMath>
        <m:sSub>
          <m:sSubPr>
            <m:ctrlPr>
              <w:rPr>
                <w:rFonts w:ascii="Cambria Math" w:eastAsiaTheme="minorEastAsia" w:hAnsi="Cambria Math"/>
                <w:i/>
                <w:color w:val="000000" w:themeColor="text1"/>
              </w:rPr>
            </m:ctrlPr>
          </m:sSub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m</m:t>
                </m:r>
              </m:sub>
            </m:sSub>
          </m:e>
          <m:sub>
            <m:r>
              <w:rPr>
                <w:rFonts w:ascii="Cambria Math" w:eastAsiaTheme="minorEastAsia" w:hAnsi="Cambria Math"/>
                <w:color w:val="000000" w:themeColor="text1"/>
              </w:rPr>
              <m:t>i</m:t>
            </m:r>
          </m:sub>
        </m:sSub>
      </m:oMath>
      <w:r w:rsidR="00F44D9E">
        <w:rPr>
          <w:rFonts w:eastAsiaTheme="minorEastAsia"/>
          <w:color w:val="000000" w:themeColor="text1"/>
        </w:rPr>
        <w:t xml:space="preserve"> is the </w:t>
      </w:r>
      <w:r>
        <w:rPr>
          <w:rFonts w:eastAsiaTheme="minorEastAsia"/>
          <w:color w:val="000000" w:themeColor="text1"/>
        </w:rPr>
        <w:t>coverage of the MDA where a person receives at least one round of MDA. Other</w:t>
      </w:r>
      <w:r>
        <w:rPr>
          <w:lang w:val="en-US"/>
        </w:rPr>
        <w:t xml:space="preserve"> m</w:t>
      </w:r>
      <w:r w:rsidR="00FD5D3B">
        <w:rPr>
          <w:lang w:val="en-US"/>
        </w:rPr>
        <w:t>ethods for modelling interventions remain the same as in the previous paper</w:t>
      </w:r>
      <w:r w:rsidR="00111739">
        <w:rPr>
          <w:lang w:val="en-US"/>
        </w:rPr>
        <w:t xml:space="preserve"> </w:t>
      </w:r>
      <w:r w:rsidR="00960315">
        <w:rPr>
          <w:lang w:val="en-US"/>
        </w:rPr>
        <w:fldChar w:fldCharType="begin"/>
      </w:r>
      <w:r w:rsidR="00960315">
        <w:rPr>
          <w:lang w:val="en-US"/>
        </w:rPr>
        <w:instrText xml:space="preserve"> ADDIN ZOTERO_ITEM CSL_CITATION {"citationID":"hfDgyJrE","properties":{"formattedCitation":"(6)","plainCitation":"(6)","noteIndex":0},"citationItems":[{"id":726,"uris":["http://zotero.org/users/2420167/items/Y2VH59X2"],"uri":["http://zotero.org/users/2420167/items/Y2VH59X2"],"itemData":{"id":726,"type":"article-journal","title":"Towards malaria elimination in Savannakhet, Lao PDR: mathematical modelling driven strategy design","container-title":"Malaria Journal","page":"483","volume":"16","issue":"1","abstract":"The number of Plasmodium falciparum malaria cases around the world has decreased substantially over the last 15 years, but with the spread of resistance against anti-malarial drugs and insecticides, this decline may not continue. There is an urgent need to consider alternative, accelerated strategies to eliminate malaria in countries like Lao PDR, where there are a few remaining endemic areas. A deterministic compartmental modelling tool was used to develop an integrated strategy for P. falciparum elimination in the Savannakhet province of Lao PDR. The model was designed to include key aspects of malaria transmission and integrated control measures, along with a user-friendly interface.","DOI":"10.1186/s12936-017-2130-3","ISSN":"1475-2875","journalAbbreviation":"Malaria Journal","author":[{"family":"Tun","given":"Sai Thein Than"},{"family":"Seidlein","given":"Lorenz","non-dropping-particle":"von"},{"family":"Pongvongsa","given":"Tiengkham"},{"family":"Mayxay","given":"Mayfong"},{"family":"Saralamba","given":"Sompob"},{"family":"Kyaw","given":"Shwe Sin"},{"family":"Chanthavilay","given":"Phetsavanh"},{"family":"Celhay","given":"Olivier"},{"family":"Nguyen","given":"Tran Dang"},{"family":"Tran","given":"Thu Nguyen-Anh"},{"family":"Parker","given":"Daniel M."},{"family":"Boni","given":"Maciej F."},{"family":"Dondorp","given":"Arjen M."},{"family":"White","given":"Lisa J."}],"issued":{"date-parts":[["2017",11,28]]}}}],"schema":"https://github.com/citation-style-language/schema/raw/master/csl-citation.json"} </w:instrText>
      </w:r>
      <w:r w:rsidR="00960315">
        <w:rPr>
          <w:lang w:val="en-US"/>
        </w:rPr>
        <w:fldChar w:fldCharType="separate"/>
      </w:r>
      <w:r w:rsidR="00960315">
        <w:rPr>
          <w:noProof/>
          <w:lang w:val="en-US"/>
        </w:rPr>
        <w:t>(6)</w:t>
      </w:r>
      <w:r w:rsidR="00960315">
        <w:rPr>
          <w:lang w:val="en-US"/>
        </w:rPr>
        <w:fldChar w:fldCharType="end"/>
      </w:r>
      <w:r>
        <w:rPr>
          <w:lang w:val="en-US"/>
        </w:rPr>
        <w:t>.</w:t>
      </w:r>
    </w:p>
    <w:p w14:paraId="335E83C0" w14:textId="4BF11B51" w:rsidR="00C3568D" w:rsidRDefault="00C3568D" w:rsidP="00F55234">
      <w:pPr>
        <w:rPr>
          <w:lang w:val="en-US"/>
        </w:rPr>
      </w:pPr>
    </w:p>
    <w:p w14:paraId="7BB1BF99" w14:textId="0CFCA18D" w:rsidR="00C3568D" w:rsidRDefault="00C3568D" w:rsidP="0079761D">
      <w:pPr>
        <w:pStyle w:val="Heading2"/>
        <w:rPr>
          <w:lang w:val="en-US"/>
        </w:rPr>
      </w:pPr>
      <w:r>
        <w:rPr>
          <w:lang w:val="en-US"/>
        </w:rPr>
        <w:t>Set up</w:t>
      </w:r>
      <w:r w:rsidR="0079761D">
        <w:rPr>
          <w:lang w:val="en-US"/>
        </w:rPr>
        <w:t xml:space="preserve"> of the scenario</w:t>
      </w:r>
      <w:r w:rsidR="00573006">
        <w:rPr>
          <w:lang w:val="en-US"/>
        </w:rPr>
        <w:t>s</w:t>
      </w:r>
    </w:p>
    <w:p w14:paraId="3DBC7CEE" w14:textId="6C370EB8" w:rsidR="0079761D" w:rsidRDefault="00074FBB" w:rsidP="0079761D">
      <w:pPr>
        <w:rPr>
          <w:lang w:val="en-US"/>
        </w:rPr>
      </w:pPr>
      <w:r>
        <w:rPr>
          <w:lang w:val="en-US"/>
        </w:rPr>
        <w:t>The</w:t>
      </w:r>
      <w:r w:rsidR="00BE5348">
        <w:rPr>
          <w:lang w:val="en-US"/>
        </w:rPr>
        <w:t xml:space="preserve"> parameters for the</w:t>
      </w:r>
      <w:r>
        <w:rPr>
          <w:lang w:val="en-US"/>
        </w:rPr>
        <w:t xml:space="preserve"> model w</w:t>
      </w:r>
      <w:r w:rsidR="00BE5348">
        <w:rPr>
          <w:lang w:val="en-US"/>
        </w:rPr>
        <w:t>ere</w:t>
      </w:r>
      <w:r>
        <w:rPr>
          <w:lang w:val="en-US"/>
        </w:rPr>
        <w:t xml:space="preserve"> calibrated based on the data from </w:t>
      </w:r>
      <w:r w:rsidR="00180CE3">
        <w:rPr>
          <w:lang w:val="en-US"/>
        </w:rPr>
        <w:fldChar w:fldCharType="begin"/>
      </w:r>
      <w:r w:rsidR="00432FD3">
        <w:rPr>
          <w:lang w:val="en-US"/>
        </w:rPr>
        <w:instrText xml:space="preserve"> ADDIN ZOTERO_ITEM CSL_CITATION {"citationID":"EBwC1PkO","properties":{"formattedCitation":"(7)","plainCitation":"(7)","noteIndex":0},"citationItems":[{"id":756,"uris":["http://zotero.org/users/2420167/items/S68KNEH8"],"uri":["http://zotero.org/users/2420167/items/S68KNEH8"],"itemData":{"id":756,"type":"article-journal","title":"Potential herd protection against Plasmodium falciparum infections conferred by mass antimalarial drug administrations","container-title":"eLife","page":"e41023","volume":"8","source":"DOI.org (Crossref)","abstract":"The global malaria burden has decreased over the last decade and many nations are attempting elimination. Asymptomatic malaria infections are not normally diagnosed or treated, posing a major hurdle for elimination efforts. One solution to this problem is mass drug administration (MDA), with success depending on adequate population participation. Here, we present a detailed spatial and temporal analysis of malaria episodes and asymptomatic infections in four villages undergoing MDA in Myanmar. In this study, individuals from neighborhoods with low MDA adherence had 2.85 times the odds of having a malaria episode post-MDA in comparison to those from high adherence neighborhoods, regardless of individual participation, suggesting a herd effect. High mosquito biting rates, living in a house with someone else with malaria, or having an asymptomatic malaria infection were also predictors of clinical episodes. Spatial clustering of non-adherence to MDA, even in villages with high overall participation, may frustrate elimination efforts.\n          , \n            The global burden of malaria has decreased over the last decade. Many countries now aim to banish malaria. One obstacle to elimination is people who carry malaria parasites without showing symptoms. These asymptomatic people are unlikely to be diagnosed and treated and may contribute to further spread of malaria. One way to clear all malaria infections would be to ask everyone in a community to take antimalarial drugs at the same time, even if they do not feel ill. This tactic is most likely to work in communities that are already reducing malaria infections by other means. For example, by treating symptomatic people and using bed nets to prevent bites from malaria-infected mosquitos.\n            Several studies have shown that mass drug administration is a promising approach to reduce malaria infections. But its success depends on enough people participating. If enough community members take antimalarial drugs, then even those who cannot participate, such as young children or pregnant women, should be less likely to get malaria. This is called the herd effect.\n            Now, Parker et al. demonstrate that mass antimalarial drug administration reduces infections with malaria caused by the parasite Plasmodium falciparum. The analysis looked at malaria infections among residents of four villages in the Kayin State of Myanmar that used mass antimalarial drug administration. People who lived in neighborhoods with high participation in mass drug administration were almost three times less likely to get malaria than people who lived in communities with low participation. Even people who did not take part benefited.\n            The analysis suggests that mass antimalaria drug administration benefits individuals and their communities if enough people take part. To be successful, malaria elimination programs that wish to use mass drug administration should approach communities in a way that encourages high levels of participation.","DOI":"10.7554/eLife.41023","ISSN":"2050-084X","language":"en","author":[{"family":"Parker","given":"Daniel M"},{"family":"Tun","given":"Sai Thein Than"},{"family":"White","given":"Lisa J"},{"family":"Kajeechiwa","given":"Ladda"},{"family":"Thwin","given":"May Myo"},{"family":"Landier","given":"Jordi"},{"family":"Chaumeau","given":"Victor"},{"family":"Corbel","given":"Vincent"},{"family":"Dondorp","given":"Arjen M"},{"family":"Seidlein","given":"Lorenz","non-dropping-particle":"von"},{"family":"White","given":"Nicholas J"},{"family":"Maude","given":"Richard J"},{"family":"Nosten","given":"François"}],"issued":{"date-parts":[["2019",4,16]]}}}],"schema":"https://github.com/citation-style-language/schema/raw/master/csl-citation.json"} </w:instrText>
      </w:r>
      <w:r w:rsidR="00180CE3">
        <w:rPr>
          <w:lang w:val="en-US"/>
        </w:rPr>
        <w:fldChar w:fldCharType="separate"/>
      </w:r>
      <w:r w:rsidR="00432FD3">
        <w:rPr>
          <w:rFonts w:ascii="Calibri" w:cs="Calibri"/>
        </w:rPr>
        <w:t>(7)</w:t>
      </w:r>
      <w:r w:rsidR="00180CE3">
        <w:rPr>
          <w:lang w:val="en-US"/>
        </w:rPr>
        <w:fldChar w:fldCharType="end"/>
      </w:r>
      <w:r w:rsidR="00864B80">
        <w:rPr>
          <w:lang w:val="en-US"/>
        </w:rPr>
        <w:t>.</w:t>
      </w:r>
      <w:r w:rsidR="00960315">
        <w:rPr>
          <w:lang w:val="en-US"/>
        </w:rPr>
        <w:t xml:space="preserve"> </w:t>
      </w:r>
      <w:r w:rsidR="0079761D">
        <w:rPr>
          <w:lang w:val="en-US"/>
        </w:rPr>
        <w:t xml:space="preserve">All parameters that were assumed can be found in Table x. </w:t>
      </w:r>
    </w:p>
    <w:p w14:paraId="62DB8BB0" w14:textId="1B8AD6E6" w:rsidR="00936EC1" w:rsidRDefault="00936EC1" w:rsidP="0079761D">
      <w:pPr>
        <w:rPr>
          <w:lang w:val="en-US"/>
        </w:rPr>
      </w:pPr>
    </w:p>
    <w:p w14:paraId="6C7981C5" w14:textId="77777777" w:rsidR="00936EC1" w:rsidRPr="00FC3F1D" w:rsidRDefault="00936EC1" w:rsidP="00936EC1">
      <w:pPr>
        <w:rPr>
          <w:lang w:val="en-US"/>
        </w:rPr>
      </w:pPr>
    </w:p>
    <w:p w14:paraId="667135D5" w14:textId="28931F9A" w:rsidR="002E1046" w:rsidRPr="002E1046" w:rsidRDefault="00936EC1" w:rsidP="00960315">
      <w:pPr>
        <w:pStyle w:val="Heading2"/>
        <w:rPr>
          <w:lang w:val="en-US"/>
        </w:rPr>
      </w:pPr>
      <w:r>
        <w:rPr>
          <w:lang w:val="en-US"/>
        </w:rPr>
        <w:t>Outcome</w:t>
      </w:r>
      <w:r w:rsidR="00D83FF0">
        <w:rPr>
          <w:lang w:val="en-US"/>
        </w:rPr>
        <w:t xml:space="preserve"> measurement in the model</w:t>
      </w:r>
    </w:p>
    <w:p w14:paraId="1933F71B" w14:textId="3AE61A7E" w:rsidR="003C1A24" w:rsidRDefault="00F955D3" w:rsidP="00D83FF0">
      <w:pPr>
        <w:rPr>
          <w:lang w:val="en-US"/>
        </w:rPr>
      </w:pPr>
      <w:r>
        <w:rPr>
          <w:lang w:val="en-US"/>
        </w:rPr>
        <w:t xml:space="preserve">Outcome presented here was whether </w:t>
      </w:r>
      <w:r w:rsidRPr="00F44E88">
        <w:rPr>
          <w:lang w:val="en-US"/>
        </w:rPr>
        <w:t xml:space="preserve">elimination threshold (less than 1 case per 1000 per year) </w:t>
      </w:r>
      <w:r>
        <w:rPr>
          <w:lang w:val="en-US"/>
        </w:rPr>
        <w:t>was</w:t>
      </w:r>
      <w:r w:rsidRPr="00F44E88">
        <w:rPr>
          <w:lang w:val="en-US"/>
        </w:rPr>
        <w:t xml:space="preserve"> achieved</w:t>
      </w:r>
      <w:r>
        <w:rPr>
          <w:lang w:val="en-US"/>
        </w:rPr>
        <w:t xml:space="preserve"> in one village or both of the villages </w:t>
      </w:r>
      <w:r>
        <w:rPr>
          <w:u w:val="single"/>
          <w:lang w:val="en-US"/>
        </w:rPr>
        <w:t>at</w:t>
      </w:r>
      <w:r w:rsidRPr="00A97887">
        <w:rPr>
          <w:u w:val="single"/>
          <w:lang w:val="en-US"/>
        </w:rPr>
        <w:t xml:space="preserve"> one-year </w:t>
      </w:r>
      <w:r>
        <w:rPr>
          <w:u w:val="single"/>
          <w:lang w:val="en-US"/>
        </w:rPr>
        <w:t>after the completion of MDA</w:t>
      </w:r>
      <w:r w:rsidR="00D83FF0">
        <w:rPr>
          <w:lang w:val="en-US"/>
        </w:rPr>
        <w:t xml:space="preserve">. MDA success should be measured immediately after it’s done (before being complicated by other external effects such as importation). This may not be an ultimate outcome. </w:t>
      </w:r>
      <w:r w:rsidR="00960315">
        <w:rPr>
          <w:lang w:val="en-US"/>
        </w:rPr>
        <w:t>It should also be noted that t</w:t>
      </w:r>
      <w:r w:rsidR="00D83FF0">
        <w:rPr>
          <w:lang w:val="en-US"/>
        </w:rPr>
        <w:t xml:space="preserve">his </w:t>
      </w:r>
      <w:r w:rsidR="00960315">
        <w:rPr>
          <w:lang w:val="en-US"/>
        </w:rPr>
        <w:t xml:space="preserve">measure </w:t>
      </w:r>
      <w:r w:rsidR="00D83FF0">
        <w:rPr>
          <w:lang w:val="en-US"/>
        </w:rPr>
        <w:t xml:space="preserve">has been </w:t>
      </w:r>
      <w:r w:rsidR="00960315">
        <w:rPr>
          <w:lang w:val="en-US"/>
        </w:rPr>
        <w:t>estimated</w:t>
      </w:r>
      <w:r w:rsidR="00D83FF0">
        <w:rPr>
          <w:lang w:val="en-US"/>
        </w:rPr>
        <w:t xml:space="preserve"> in </w:t>
      </w:r>
      <w:r w:rsidR="0079761D">
        <w:rPr>
          <w:lang w:val="en-US"/>
        </w:rPr>
        <w:t>the presence of other interventions</w:t>
      </w:r>
      <w:r w:rsidR="00D83FF0">
        <w:rPr>
          <w:lang w:val="en-US"/>
        </w:rPr>
        <w:t>.</w:t>
      </w:r>
    </w:p>
    <w:p w14:paraId="0FFF5574" w14:textId="77777777" w:rsidR="00282A79" w:rsidRDefault="00282A79" w:rsidP="00421F97">
      <w:pPr>
        <w:rPr>
          <w:rFonts w:eastAsiaTheme="minorEastAsia"/>
        </w:rPr>
      </w:pPr>
    </w:p>
    <w:p w14:paraId="3CD5097D" w14:textId="47EE9C23" w:rsidR="00F55234" w:rsidRDefault="00F55234" w:rsidP="00F55234">
      <w:pPr>
        <w:pStyle w:val="Heading1"/>
      </w:pPr>
      <w:r>
        <w:t>Results</w:t>
      </w:r>
    </w:p>
    <w:p w14:paraId="68CCA29A" w14:textId="3E614FBA" w:rsidR="00170EE3" w:rsidRDefault="00170EE3" w:rsidP="00170EE3">
      <w:pPr>
        <w:pStyle w:val="Heading2"/>
      </w:pPr>
      <w:r>
        <w:t>Results from the malaria MDA coverage example</w:t>
      </w:r>
    </w:p>
    <w:p w14:paraId="2DC75A58" w14:textId="56A54740" w:rsidR="00F76F2F" w:rsidRDefault="00170EE3" w:rsidP="00F76F2F">
      <w:r>
        <w:t>W</w:t>
      </w:r>
      <w:r w:rsidR="00F36414">
        <w:t xml:space="preserve">hile fixing </w:t>
      </w:r>
      <w:r>
        <w:t>the MDA coverage in the patch 1</w:t>
      </w:r>
      <w:r w:rsidR="00F36414">
        <w:t xml:space="preserve"> at a particular value</w:t>
      </w:r>
      <w:r>
        <w:t xml:space="preserve">, we increased </w:t>
      </w:r>
      <w:r w:rsidR="003B4B50">
        <w:t>the connectedness from 0% to 100%</w:t>
      </w:r>
      <w:r>
        <w:t xml:space="preserve">, and </w:t>
      </w:r>
      <w:r w:rsidR="003B4B50">
        <w:t xml:space="preserve">the MDA coverage from 0% to 99% in the increment of 1% </w:t>
      </w:r>
      <w:r w:rsidR="00F36414">
        <w:t xml:space="preserve">in patch 2 for each </w:t>
      </w:r>
      <w:r w:rsidR="003B4B50">
        <w:t>simulation</w:t>
      </w:r>
      <w:r>
        <w:t xml:space="preserve">. The permutation resulted in </w:t>
      </w:r>
      <w:r w:rsidR="00F76F2F">
        <w:t>10,</w:t>
      </w:r>
      <w:r w:rsidR="00F36414">
        <w:t>1</w:t>
      </w:r>
      <w:r w:rsidR="00F76F2F">
        <w:t>00</w:t>
      </w:r>
      <w:r w:rsidR="00F36414">
        <w:t xml:space="preserve"> simulations for each MDA coverage value in patch 1</w:t>
      </w:r>
      <w:r w:rsidR="00F76F2F">
        <w:t xml:space="preserve">. The results of these </w:t>
      </w:r>
      <w:r w:rsidR="00F36414">
        <w:t>we</w:t>
      </w:r>
      <w:r w:rsidR="00F76F2F">
        <w:t xml:space="preserve">re plotted </w:t>
      </w:r>
      <w:r w:rsidR="00F36414">
        <w:t>as a surface plot with</w:t>
      </w:r>
      <w:r w:rsidR="00F76F2F">
        <w:t xml:space="preserve"> 10</w:t>
      </w:r>
      <w:r w:rsidR="003B4B50">
        <w:t>1</w:t>
      </w:r>
      <w:r w:rsidR="00F76F2F">
        <w:t xml:space="preserve"> by 100 grid</w:t>
      </w:r>
      <w:r w:rsidR="00F36414">
        <w:t xml:space="preserve">s. X-axis represents connectedness and Y-axis represents the MDA coverage in patch 2. We </w:t>
      </w:r>
      <w:r w:rsidR="003B4B50">
        <w:t xml:space="preserve">repeated this simulation exercise for the MDA coverage values in the patch 1 from 0% to 90%, with 10% increments. The complete results can be seen in the appendix []. </w:t>
      </w:r>
      <w:r w:rsidR="003B4B50">
        <w:lastRenderedPageBreak/>
        <w:t xml:space="preserve">We have selectively shown the results for 70%, 80% and 90% MDA coverage in patch 1 in the first row of </w:t>
      </w:r>
      <w:r w:rsidR="00335CED">
        <w:fldChar w:fldCharType="begin"/>
      </w:r>
      <w:r w:rsidR="00335CED">
        <w:instrText xml:space="preserve"> REF _Ref17209281 \h </w:instrText>
      </w:r>
      <w:r w:rsidR="00335CED">
        <w:fldChar w:fldCharType="separate"/>
      </w:r>
      <w:r w:rsidR="00335CED">
        <w:t xml:space="preserve">Figure </w:t>
      </w:r>
      <w:r w:rsidR="00335CED">
        <w:rPr>
          <w:noProof/>
        </w:rPr>
        <w:t>1</w:t>
      </w:r>
      <w:r w:rsidR="00335CED">
        <w:fldChar w:fldCharType="end"/>
      </w:r>
      <w:r w:rsidR="00335CED">
        <w:t xml:space="preserve"> </w:t>
      </w:r>
      <w:r w:rsidR="003B4B50">
        <w:t xml:space="preserve">below. </w:t>
      </w:r>
    </w:p>
    <w:p w14:paraId="095CE7DA" w14:textId="4C374E64" w:rsidR="003B4B50" w:rsidRDefault="003B4B50" w:rsidP="00F76F2F"/>
    <w:p w14:paraId="00C73503" w14:textId="088DBE26" w:rsidR="003B4B50" w:rsidRPr="009444DB" w:rsidRDefault="003B4B50" w:rsidP="00F76F2F">
      <w:r>
        <w:t xml:space="preserve">The </w:t>
      </w:r>
      <w:r w:rsidR="00E54709">
        <w:t>remaining two</w:t>
      </w:r>
      <w:r>
        <w:t xml:space="preserve"> row</w:t>
      </w:r>
      <w:r w:rsidR="00E54709">
        <w:t>s represents the results of the same experiment as above but with one difference – the maximal human biting rate (HBR) is 25% lower in patch 2 in the second row, and the HBR is 25% higher in patch 2 in the last row.</w:t>
      </w:r>
    </w:p>
    <w:p w14:paraId="57AD489C" w14:textId="77777777" w:rsidR="00F76F2F" w:rsidRDefault="00F76F2F" w:rsidP="00F76F2F"/>
    <w:p w14:paraId="501C807C" w14:textId="05DF9E8F" w:rsidR="00282A79" w:rsidRDefault="00FF2C0E" w:rsidP="00282A79">
      <w:r>
        <w:t xml:space="preserve">At a particular incidence (API of … in the simulation), there exists a </w:t>
      </w:r>
      <w:r w:rsidR="00FB4E3C">
        <w:t>“baseline”</w:t>
      </w:r>
      <w:r w:rsidR="00374D82">
        <w:t xml:space="preserve"> or “minimal”</w:t>
      </w:r>
      <w:r w:rsidR="00FB4E3C">
        <w:t xml:space="preserve"> </w:t>
      </w:r>
      <w:r>
        <w:t xml:space="preserve">threshold of MDA coverage above which pre-elimination </w:t>
      </w:r>
      <w:r w:rsidR="00335CED">
        <w:t>(</w:t>
      </w:r>
      <w:proofErr w:type="spellStart"/>
      <w:r w:rsidR="00335CED">
        <w:t>ie</w:t>
      </w:r>
      <w:proofErr w:type="spellEnd"/>
      <w:r w:rsidR="00335CED">
        <w:t xml:space="preserve">. &lt;1 case/1000 population) </w:t>
      </w:r>
      <w:r>
        <w:t>would be achieved</w:t>
      </w:r>
      <w:r w:rsidR="003136B9">
        <w:t xml:space="preserve">, if a patch is isolated </w:t>
      </w:r>
      <w:r w:rsidR="00335CED">
        <w:t>/n</w:t>
      </w:r>
      <w:r w:rsidR="003136B9">
        <w:t xml:space="preserve">ot connected to another one. This </w:t>
      </w:r>
      <w:r w:rsidR="00FB4E3C">
        <w:t xml:space="preserve">“baseline” </w:t>
      </w:r>
      <w:r w:rsidR="003136B9">
        <w:t xml:space="preserve">threshold depends on the local incidence. As the connectivity increases, the MDA coverage threshold would increase </w:t>
      </w:r>
      <w:r w:rsidR="00FB4E3C">
        <w:t xml:space="preserve">above the “baseline” threshold </w:t>
      </w:r>
      <w:r w:rsidR="003136B9">
        <w:t xml:space="preserve">if the connecting </w:t>
      </w:r>
      <w:r w:rsidR="00265446">
        <w:t>patch</w:t>
      </w:r>
      <w:r w:rsidR="003136B9">
        <w:t xml:space="preserve"> has a lower MDA coverage and vice versa. </w:t>
      </w:r>
      <w:r w:rsidR="00D82712">
        <w:t xml:space="preserve">We will </w:t>
      </w:r>
      <w:r w:rsidR="00335CED">
        <w:t>designate</w:t>
      </w:r>
      <w:r w:rsidR="00D82712">
        <w:t xml:space="preserve"> the effect varying degrees of connectedness ha</w:t>
      </w:r>
      <w:r w:rsidR="00335CED">
        <w:t>s</w:t>
      </w:r>
      <w:r w:rsidR="00D82712">
        <w:t xml:space="preserve"> on the changing MDA threshold, an assembly effect. </w:t>
      </w:r>
    </w:p>
    <w:p w14:paraId="10C5A62A" w14:textId="77777777" w:rsidR="009C6466" w:rsidRDefault="009C6466" w:rsidP="00282A79"/>
    <w:p w14:paraId="0957B176" w14:textId="77777777" w:rsidR="00A9184A" w:rsidRDefault="00A9184A">
      <w:r>
        <w:br w:type="page"/>
      </w:r>
    </w:p>
    <w:p w14:paraId="3DBACD3D" w14:textId="77777777" w:rsidR="009C6466" w:rsidRDefault="009C6466" w:rsidP="00282A79"/>
    <w:p w14:paraId="59908FD1" w14:textId="77777777" w:rsidR="004A77D9" w:rsidRPr="004A77D9" w:rsidRDefault="00D71929" w:rsidP="00D71929">
      <w:pPr>
        <w:rPr>
          <w:sz w:val="20"/>
          <w:szCs w:val="20"/>
        </w:rPr>
      </w:pPr>
      <w:r w:rsidRPr="00970EC7">
        <w:rPr>
          <w:sz w:val="20"/>
          <w:szCs w:val="20"/>
          <w:highlight w:val="green"/>
        </w:rPr>
        <w:t>HBR_max16</w:t>
      </w:r>
    </w:p>
    <w:p w14:paraId="0AAB2745" w14:textId="410AA2DE" w:rsidR="00D71929" w:rsidRDefault="00D71929" w:rsidP="004A77D9">
      <w:pPr>
        <w:pBdr>
          <w:bottom w:val="single" w:sz="6" w:space="1" w:color="auto"/>
        </w:pBdr>
      </w:pPr>
      <w:r>
        <w:rPr>
          <w:noProof/>
          <w:lang w:val="en-US"/>
        </w:rPr>
        <w:drawing>
          <wp:inline distT="0" distB="0" distL="0" distR="0" wp14:anchorId="63176BBE" wp14:editId="750E8413">
            <wp:extent cx="1800000" cy="1600000"/>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ogeniety_MDAcoverage_70_2019-04-10 123220.png"/>
                    <pic:cNvPicPr/>
                  </pic:nvPicPr>
                  <pic:blipFill>
                    <a:blip r:embed="rId9">
                      <a:extLst>
                        <a:ext uri="{28A0092B-C50C-407E-A947-70E740481C1C}">
                          <a14:useLocalDpi xmlns:a14="http://schemas.microsoft.com/office/drawing/2010/main" val="0"/>
                        </a:ext>
                      </a:extLst>
                    </a:blip>
                    <a:stretch>
                      <a:fillRect/>
                    </a:stretch>
                  </pic:blipFill>
                  <pic:spPr>
                    <a:xfrm>
                      <a:off x="0" y="0"/>
                      <a:ext cx="1800000" cy="1600000"/>
                    </a:xfrm>
                    <a:prstGeom prst="rect">
                      <a:avLst/>
                    </a:prstGeom>
                  </pic:spPr>
                </pic:pic>
              </a:graphicData>
            </a:graphic>
          </wp:inline>
        </w:drawing>
      </w:r>
      <w:r>
        <w:rPr>
          <w:noProof/>
          <w:lang w:val="en-US"/>
        </w:rPr>
        <w:drawing>
          <wp:inline distT="0" distB="0" distL="0" distR="0" wp14:anchorId="44858AA1" wp14:editId="6452C874">
            <wp:extent cx="1800000" cy="1600000"/>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ogeniety_MDAcoverage_80_2019-04-10 123221.png"/>
                    <pic:cNvPicPr/>
                  </pic:nvPicPr>
                  <pic:blipFill>
                    <a:blip r:embed="rId10">
                      <a:extLst>
                        <a:ext uri="{28A0092B-C50C-407E-A947-70E740481C1C}">
                          <a14:useLocalDpi xmlns:a14="http://schemas.microsoft.com/office/drawing/2010/main" val="0"/>
                        </a:ext>
                      </a:extLst>
                    </a:blip>
                    <a:stretch>
                      <a:fillRect/>
                    </a:stretch>
                  </pic:blipFill>
                  <pic:spPr>
                    <a:xfrm>
                      <a:off x="0" y="0"/>
                      <a:ext cx="1800000" cy="1600000"/>
                    </a:xfrm>
                    <a:prstGeom prst="rect">
                      <a:avLst/>
                    </a:prstGeom>
                  </pic:spPr>
                </pic:pic>
              </a:graphicData>
            </a:graphic>
          </wp:inline>
        </w:drawing>
      </w:r>
      <w:r>
        <w:rPr>
          <w:noProof/>
          <w:lang w:val="en-US"/>
        </w:rPr>
        <w:drawing>
          <wp:inline distT="0" distB="0" distL="0" distR="0" wp14:anchorId="4282F839" wp14:editId="11E0C8F2">
            <wp:extent cx="1800000" cy="1600000"/>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ogeniety_MDAcoverage_90_2019-04-10 123221.png"/>
                    <pic:cNvPicPr/>
                  </pic:nvPicPr>
                  <pic:blipFill>
                    <a:blip r:embed="rId11">
                      <a:extLst>
                        <a:ext uri="{28A0092B-C50C-407E-A947-70E740481C1C}">
                          <a14:useLocalDpi xmlns:a14="http://schemas.microsoft.com/office/drawing/2010/main" val="0"/>
                        </a:ext>
                      </a:extLst>
                    </a:blip>
                    <a:stretch>
                      <a:fillRect/>
                    </a:stretch>
                  </pic:blipFill>
                  <pic:spPr>
                    <a:xfrm>
                      <a:off x="0" y="0"/>
                      <a:ext cx="1800000" cy="1600000"/>
                    </a:xfrm>
                    <a:prstGeom prst="rect">
                      <a:avLst/>
                    </a:prstGeom>
                  </pic:spPr>
                </pic:pic>
              </a:graphicData>
            </a:graphic>
          </wp:inline>
        </w:drawing>
      </w:r>
    </w:p>
    <w:p w14:paraId="38FF853D" w14:textId="77777777" w:rsidR="004A77D9" w:rsidRDefault="00D71929">
      <w:pPr>
        <w:rPr>
          <w:sz w:val="21"/>
        </w:rPr>
      </w:pPr>
      <w:r w:rsidRPr="00970EC7">
        <w:rPr>
          <w:sz w:val="18"/>
          <w:highlight w:val="green"/>
        </w:rPr>
        <w:t>25% lower HBR</w:t>
      </w:r>
      <w:r w:rsidR="007A6013" w:rsidRPr="00970EC7">
        <w:rPr>
          <w:sz w:val="18"/>
          <w:highlight w:val="green"/>
        </w:rPr>
        <w:t xml:space="preserve"> in village 2</w:t>
      </w:r>
      <w:r w:rsidR="00587A17" w:rsidRPr="004D4C47">
        <w:rPr>
          <w:sz w:val="18"/>
        </w:rPr>
        <w:t xml:space="preserve"> </w:t>
      </w:r>
    </w:p>
    <w:p w14:paraId="289256BF" w14:textId="77777777" w:rsidR="004A77D9" w:rsidRDefault="00587A17">
      <w:pPr>
        <w:pBdr>
          <w:bottom w:val="single" w:sz="6" w:space="1" w:color="auto"/>
        </w:pBdr>
      </w:pPr>
      <w:r w:rsidRPr="004D4C47">
        <w:rPr>
          <w:noProof/>
          <w:sz w:val="21"/>
          <w:lang w:val="en-US"/>
        </w:rPr>
        <w:drawing>
          <wp:inline distT="0" distB="0" distL="0" distR="0" wp14:anchorId="24C48F6F" wp14:editId="77F65701">
            <wp:extent cx="1799998" cy="1599999"/>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ogeniety_MDAcoverage_loAPI70_2019-05-26 182344.png"/>
                    <pic:cNvPicPr/>
                  </pic:nvPicPr>
                  <pic:blipFill>
                    <a:blip r:embed="rId12">
                      <a:extLst>
                        <a:ext uri="{28A0092B-C50C-407E-A947-70E740481C1C}">
                          <a14:useLocalDpi xmlns:a14="http://schemas.microsoft.com/office/drawing/2010/main" val="0"/>
                        </a:ext>
                      </a:extLst>
                    </a:blip>
                    <a:stretch>
                      <a:fillRect/>
                    </a:stretch>
                  </pic:blipFill>
                  <pic:spPr>
                    <a:xfrm>
                      <a:off x="0" y="0"/>
                      <a:ext cx="1799998" cy="1599999"/>
                    </a:xfrm>
                    <a:prstGeom prst="rect">
                      <a:avLst/>
                    </a:prstGeom>
                  </pic:spPr>
                </pic:pic>
              </a:graphicData>
            </a:graphic>
          </wp:inline>
        </w:drawing>
      </w:r>
      <w:r w:rsidRPr="004D4C47">
        <w:rPr>
          <w:noProof/>
          <w:sz w:val="21"/>
          <w:lang w:val="en-US"/>
        </w:rPr>
        <w:drawing>
          <wp:inline distT="0" distB="0" distL="0" distR="0" wp14:anchorId="0C88BDAD" wp14:editId="3C50C237">
            <wp:extent cx="1799998" cy="1599999"/>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ogeniety_MDAcoverage_loAPI80_2019-05-26 182344.png"/>
                    <pic:cNvPicPr/>
                  </pic:nvPicPr>
                  <pic:blipFill>
                    <a:blip r:embed="rId13">
                      <a:extLst>
                        <a:ext uri="{28A0092B-C50C-407E-A947-70E740481C1C}">
                          <a14:useLocalDpi xmlns:a14="http://schemas.microsoft.com/office/drawing/2010/main" val="0"/>
                        </a:ext>
                      </a:extLst>
                    </a:blip>
                    <a:stretch>
                      <a:fillRect/>
                    </a:stretch>
                  </pic:blipFill>
                  <pic:spPr>
                    <a:xfrm>
                      <a:off x="0" y="0"/>
                      <a:ext cx="1799998" cy="1599999"/>
                    </a:xfrm>
                    <a:prstGeom prst="rect">
                      <a:avLst/>
                    </a:prstGeom>
                  </pic:spPr>
                </pic:pic>
              </a:graphicData>
            </a:graphic>
          </wp:inline>
        </w:drawing>
      </w:r>
      <w:r w:rsidR="00D71929" w:rsidRPr="004D4C47">
        <w:rPr>
          <w:sz w:val="21"/>
        </w:rPr>
        <w:t xml:space="preserve"> </w:t>
      </w:r>
      <w:r w:rsidR="00D71929">
        <w:rPr>
          <w:noProof/>
          <w:lang w:val="en-US"/>
        </w:rPr>
        <w:drawing>
          <wp:inline distT="0" distB="0" distL="0" distR="0" wp14:anchorId="3DEB079B" wp14:editId="2C7E9D92">
            <wp:extent cx="1799998" cy="1599999"/>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ogeniety_MDAcoverage_loAPI90_2019-05-26 182345.png"/>
                    <pic:cNvPicPr/>
                  </pic:nvPicPr>
                  <pic:blipFill>
                    <a:blip r:embed="rId14">
                      <a:extLst>
                        <a:ext uri="{28A0092B-C50C-407E-A947-70E740481C1C}">
                          <a14:useLocalDpi xmlns:a14="http://schemas.microsoft.com/office/drawing/2010/main" val="0"/>
                        </a:ext>
                      </a:extLst>
                    </a:blip>
                    <a:stretch>
                      <a:fillRect/>
                    </a:stretch>
                  </pic:blipFill>
                  <pic:spPr>
                    <a:xfrm>
                      <a:off x="0" y="0"/>
                      <a:ext cx="1799998" cy="1599999"/>
                    </a:xfrm>
                    <a:prstGeom prst="rect">
                      <a:avLst/>
                    </a:prstGeom>
                  </pic:spPr>
                </pic:pic>
              </a:graphicData>
            </a:graphic>
          </wp:inline>
        </w:drawing>
      </w:r>
    </w:p>
    <w:p w14:paraId="1A6A7A8D" w14:textId="01EC462C" w:rsidR="004A77D9" w:rsidRDefault="00587A17">
      <w:pPr>
        <w:rPr>
          <w:sz w:val="18"/>
        </w:rPr>
      </w:pPr>
      <w:r w:rsidRPr="00970EC7">
        <w:rPr>
          <w:sz w:val="18"/>
          <w:highlight w:val="green"/>
        </w:rPr>
        <w:t>25% higher HBR</w:t>
      </w:r>
      <w:r w:rsidR="007A6013" w:rsidRPr="00970EC7">
        <w:rPr>
          <w:sz w:val="18"/>
          <w:highlight w:val="green"/>
        </w:rPr>
        <w:t xml:space="preserve"> in village 2</w:t>
      </w:r>
    </w:p>
    <w:p w14:paraId="69E2B438" w14:textId="5016EC0C" w:rsidR="00587A17" w:rsidRDefault="00587A17">
      <w:r w:rsidRPr="004D4C47">
        <w:rPr>
          <w:sz w:val="21"/>
        </w:rPr>
        <w:t xml:space="preserve"> </w:t>
      </w:r>
      <w:r w:rsidRPr="004D4C47">
        <w:rPr>
          <w:noProof/>
          <w:sz w:val="21"/>
          <w:lang w:val="en-US"/>
        </w:rPr>
        <w:drawing>
          <wp:inline distT="0" distB="0" distL="0" distR="0" wp14:anchorId="70E4E778" wp14:editId="25A15B20">
            <wp:extent cx="1799998" cy="1599999"/>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ogeniety_MDAcoverage_hiAPI70_2019-05-26 182435.png"/>
                    <pic:cNvPicPr/>
                  </pic:nvPicPr>
                  <pic:blipFill>
                    <a:blip r:embed="rId15">
                      <a:extLst>
                        <a:ext uri="{28A0092B-C50C-407E-A947-70E740481C1C}">
                          <a14:useLocalDpi xmlns:a14="http://schemas.microsoft.com/office/drawing/2010/main" val="0"/>
                        </a:ext>
                      </a:extLst>
                    </a:blip>
                    <a:stretch>
                      <a:fillRect/>
                    </a:stretch>
                  </pic:blipFill>
                  <pic:spPr>
                    <a:xfrm>
                      <a:off x="0" y="0"/>
                      <a:ext cx="1799998" cy="1599999"/>
                    </a:xfrm>
                    <a:prstGeom prst="rect">
                      <a:avLst/>
                    </a:prstGeom>
                  </pic:spPr>
                </pic:pic>
              </a:graphicData>
            </a:graphic>
          </wp:inline>
        </w:drawing>
      </w:r>
      <w:r w:rsidRPr="004D4C47">
        <w:rPr>
          <w:noProof/>
          <w:sz w:val="21"/>
          <w:lang w:val="en-US"/>
        </w:rPr>
        <w:drawing>
          <wp:inline distT="0" distB="0" distL="0" distR="0" wp14:anchorId="4A769A6E" wp14:editId="1E809AF1">
            <wp:extent cx="1799998" cy="1599999"/>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ogeniety_MDAcoverage_hiAPI80_2019-05-26 182436.png"/>
                    <pic:cNvPicPr/>
                  </pic:nvPicPr>
                  <pic:blipFill>
                    <a:blip r:embed="rId16">
                      <a:extLst>
                        <a:ext uri="{28A0092B-C50C-407E-A947-70E740481C1C}">
                          <a14:useLocalDpi xmlns:a14="http://schemas.microsoft.com/office/drawing/2010/main" val="0"/>
                        </a:ext>
                      </a:extLst>
                    </a:blip>
                    <a:stretch>
                      <a:fillRect/>
                    </a:stretch>
                  </pic:blipFill>
                  <pic:spPr>
                    <a:xfrm>
                      <a:off x="0" y="0"/>
                      <a:ext cx="1799998" cy="1599999"/>
                    </a:xfrm>
                    <a:prstGeom prst="rect">
                      <a:avLst/>
                    </a:prstGeom>
                  </pic:spPr>
                </pic:pic>
              </a:graphicData>
            </a:graphic>
          </wp:inline>
        </w:drawing>
      </w:r>
      <w:r>
        <w:rPr>
          <w:noProof/>
          <w:lang w:val="en-US"/>
        </w:rPr>
        <w:drawing>
          <wp:inline distT="0" distB="0" distL="0" distR="0" wp14:anchorId="3823E1BE" wp14:editId="0740E0C9">
            <wp:extent cx="1799998" cy="1599999"/>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ogeniety_MDAcoverage_hiAPI90_2019-05-26 182436.png"/>
                    <pic:cNvPicPr/>
                  </pic:nvPicPr>
                  <pic:blipFill>
                    <a:blip r:embed="rId17">
                      <a:extLst>
                        <a:ext uri="{28A0092B-C50C-407E-A947-70E740481C1C}">
                          <a14:useLocalDpi xmlns:a14="http://schemas.microsoft.com/office/drawing/2010/main" val="0"/>
                        </a:ext>
                      </a:extLst>
                    </a:blip>
                    <a:stretch>
                      <a:fillRect/>
                    </a:stretch>
                  </pic:blipFill>
                  <pic:spPr>
                    <a:xfrm>
                      <a:off x="0" y="0"/>
                      <a:ext cx="1799998" cy="1599999"/>
                    </a:xfrm>
                    <a:prstGeom prst="rect">
                      <a:avLst/>
                    </a:prstGeom>
                  </pic:spPr>
                </pic:pic>
              </a:graphicData>
            </a:graphic>
          </wp:inline>
        </w:drawing>
      </w:r>
    </w:p>
    <w:p w14:paraId="6F433628" w14:textId="52F683C2" w:rsidR="006B1099" w:rsidRDefault="00CE4266" w:rsidP="00CE4266">
      <w:pPr>
        <w:pStyle w:val="Caption"/>
      </w:pPr>
      <w:bookmarkStart w:id="0" w:name="_Ref17209281"/>
      <w:r>
        <w:t xml:space="preserve">Figure </w:t>
      </w:r>
      <w:r w:rsidR="00B837C8">
        <w:fldChar w:fldCharType="begin"/>
      </w:r>
      <w:r w:rsidR="00B837C8">
        <w:instrText xml:space="preserve"> SEQ Figure \* ARABIC </w:instrText>
      </w:r>
      <w:r w:rsidR="00B837C8">
        <w:fldChar w:fldCharType="separate"/>
      </w:r>
      <w:r w:rsidR="00D72229">
        <w:rPr>
          <w:noProof/>
        </w:rPr>
        <w:t>1</w:t>
      </w:r>
      <w:r w:rsidR="00B837C8">
        <w:rPr>
          <w:noProof/>
        </w:rPr>
        <w:fldChar w:fldCharType="end"/>
      </w:r>
      <w:bookmarkEnd w:id="0"/>
      <w:r>
        <w:t xml:space="preserve">: </w:t>
      </w:r>
      <w:r w:rsidR="00D0482E">
        <w:t>Achieving pre-elimination in the two connected villages by varying c</w:t>
      </w:r>
      <w:r w:rsidRPr="00CE4266">
        <w:t xml:space="preserve">onnectedness </w:t>
      </w:r>
      <w:r>
        <w:t xml:space="preserve">between the two villages (x-axis) </w:t>
      </w:r>
      <w:r w:rsidRPr="00CE4266">
        <w:t xml:space="preserve">and MDA coverage in </w:t>
      </w:r>
      <w:r>
        <w:t xml:space="preserve">the </w:t>
      </w:r>
      <w:r w:rsidRPr="00CE4266">
        <w:t>2</w:t>
      </w:r>
      <w:r w:rsidRPr="00CE4266">
        <w:rPr>
          <w:vertAlign w:val="superscript"/>
        </w:rPr>
        <w:t>nd</w:t>
      </w:r>
      <w:r>
        <w:t xml:space="preserve"> </w:t>
      </w:r>
      <w:r w:rsidRPr="00CE4266">
        <w:t>village</w:t>
      </w:r>
      <w:r>
        <w:t xml:space="preserve"> (y-axis).</w:t>
      </w:r>
      <w:r w:rsidRPr="00CE4266">
        <w:t xml:space="preserve"> </w:t>
      </w:r>
      <w:r>
        <w:t>C</w:t>
      </w:r>
      <w:r w:rsidRPr="00CE4266">
        <w:t>olumn</w:t>
      </w:r>
      <w:r>
        <w:t>s</w:t>
      </w:r>
      <w:r w:rsidRPr="00CE4266">
        <w:t>: 70, 80 and 90% MDA coverage in village 1</w:t>
      </w:r>
      <w:r>
        <w:t>.</w:t>
      </w:r>
      <w:r w:rsidRPr="00CE4266">
        <w:t xml:space="preserve"> </w:t>
      </w:r>
      <w:r>
        <w:t xml:space="preserve">Rows: </w:t>
      </w:r>
      <w:r w:rsidRPr="00CE4266">
        <w:t>row 1</w:t>
      </w:r>
      <w:r>
        <w:t xml:space="preserve"> - </w:t>
      </w:r>
      <w:r w:rsidRPr="00CE4266">
        <w:t>same HBR in both villages, row 2</w:t>
      </w:r>
      <w:r>
        <w:t xml:space="preserve"> -</w:t>
      </w:r>
      <w:r w:rsidRPr="00CE4266">
        <w:t xml:space="preserve"> HBR 25% lower in village 2, row 3</w:t>
      </w:r>
      <w:r>
        <w:t xml:space="preserve"> -</w:t>
      </w:r>
      <w:r w:rsidRPr="00CE4266">
        <w:t xml:space="preserve"> HBR 25% higher in village 2)</w:t>
      </w:r>
    </w:p>
    <w:p w14:paraId="465FC589" w14:textId="3B5BB424" w:rsidR="00CE4266" w:rsidRDefault="006B1099" w:rsidP="00970EC7">
      <w:r>
        <w:br w:type="page"/>
      </w:r>
    </w:p>
    <w:p w14:paraId="34CBEA48" w14:textId="6329FD9F" w:rsidR="00374D82" w:rsidRDefault="002648FB" w:rsidP="00374D82">
      <w:r w:rsidRPr="002648FB">
        <w:rPr>
          <w:noProof/>
        </w:rPr>
        <w:lastRenderedPageBreak/>
        <w:drawing>
          <wp:inline distT="0" distB="0" distL="0" distR="0" wp14:anchorId="289D9A6F" wp14:editId="23C505C2">
            <wp:extent cx="5727700" cy="3221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21990"/>
                    </a:xfrm>
                    <a:prstGeom prst="rect">
                      <a:avLst/>
                    </a:prstGeom>
                  </pic:spPr>
                </pic:pic>
              </a:graphicData>
            </a:graphic>
          </wp:inline>
        </w:drawing>
      </w:r>
      <w:r w:rsidR="00374D82" w:rsidRPr="00374D82">
        <w:t xml:space="preserve"> </w:t>
      </w:r>
    </w:p>
    <w:p w14:paraId="5CF3A955" w14:textId="60F4928F" w:rsidR="00CE4266" w:rsidRDefault="00D0482E" w:rsidP="00D0482E">
      <w:pPr>
        <w:pStyle w:val="Caption"/>
      </w:pPr>
      <w:bookmarkStart w:id="1" w:name="_Ref17212938"/>
      <w:r>
        <w:t xml:space="preserve">Figure </w:t>
      </w:r>
      <w:r w:rsidR="00B837C8">
        <w:fldChar w:fldCharType="begin"/>
      </w:r>
      <w:r w:rsidR="00B837C8">
        <w:instrText xml:space="preserve"> SEQ Figure \* ARABIC </w:instrText>
      </w:r>
      <w:r w:rsidR="00B837C8">
        <w:fldChar w:fldCharType="separate"/>
      </w:r>
      <w:r w:rsidR="00D72229">
        <w:rPr>
          <w:noProof/>
        </w:rPr>
        <w:t>2</w:t>
      </w:r>
      <w:r w:rsidR="00B837C8">
        <w:rPr>
          <w:noProof/>
        </w:rPr>
        <w:fldChar w:fldCharType="end"/>
      </w:r>
      <w:bookmarkEnd w:id="1"/>
      <w:r>
        <w:t>: Achieving pre-elimination in the two connected villages by varying</w:t>
      </w:r>
      <w:r w:rsidRPr="001965A8">
        <w:t xml:space="preserve"> </w:t>
      </w:r>
      <w:r>
        <w:t>c</w:t>
      </w:r>
      <w:r w:rsidRPr="001965A8">
        <w:t xml:space="preserve">onnectedness between the two villages </w:t>
      </w:r>
      <w:r>
        <w:t xml:space="preserve">with </w:t>
      </w:r>
      <w:r w:rsidRPr="00D0482E">
        <w:rPr>
          <w:b/>
          <w:bCs/>
        </w:rPr>
        <w:t>same incidence</w:t>
      </w:r>
      <w:r w:rsidRPr="001965A8">
        <w:t xml:space="preserve"> (x-axis) and MDA coverage in the 2nd village (y-axis)</w:t>
      </w:r>
      <w:r w:rsidR="00CE4266">
        <w:t>.</w:t>
      </w:r>
      <w:r>
        <w:t xml:space="preserve"> </w:t>
      </w:r>
      <w:r w:rsidRPr="00D0482E">
        <w:rPr>
          <w:b/>
          <w:bCs/>
        </w:rPr>
        <w:t>MDA coverage in village 1 is fixed at 70%.</w:t>
      </w:r>
      <w:r w:rsidR="003B6FA1">
        <w:rPr>
          <w:b/>
          <w:bCs/>
        </w:rPr>
        <w:t xml:space="preserve"> </w:t>
      </w:r>
      <w:r w:rsidR="003B6FA1" w:rsidRPr="003B6FA1">
        <w:t>[Row 1, Column 1 of Figure 1]</w:t>
      </w:r>
    </w:p>
    <w:p w14:paraId="5BC32A72" w14:textId="77777777" w:rsidR="00335CED" w:rsidRDefault="00335CED" w:rsidP="00374D82">
      <w:r>
        <w:t xml:space="preserve">In all figures in row 1 of </w:t>
      </w:r>
      <w:r>
        <w:fldChar w:fldCharType="begin"/>
      </w:r>
      <w:r>
        <w:instrText xml:space="preserve"> REF _Ref17209281 \h </w:instrText>
      </w:r>
      <w:r>
        <w:fldChar w:fldCharType="separate"/>
      </w:r>
      <w:r>
        <w:t xml:space="preserve">Figure </w:t>
      </w:r>
      <w:r>
        <w:rPr>
          <w:noProof/>
        </w:rPr>
        <w:t>1</w:t>
      </w:r>
      <w:r>
        <w:fldChar w:fldCharType="end"/>
      </w:r>
      <w:r>
        <w:t xml:space="preserve">, both villages have identical incidence that requires a baseline MDA threshold of 78% coverage. </w:t>
      </w:r>
    </w:p>
    <w:p w14:paraId="5DF56511" w14:textId="1085421C" w:rsidR="00374D82" w:rsidRDefault="0059262E" w:rsidP="00374D82">
      <w:r>
        <w:t>T</w:t>
      </w:r>
      <w:r w:rsidR="00335CED">
        <w:t>herefore, t</w:t>
      </w:r>
      <w:r>
        <w:t>he v</w:t>
      </w:r>
      <w:r w:rsidR="00374D82" w:rsidRPr="00246809">
        <w:t>illage</w:t>
      </w:r>
      <w:r w:rsidR="00374D82">
        <w:t xml:space="preserve"> 2 is supposed to achieve </w:t>
      </w:r>
      <w:r>
        <w:t>pre-elimination</w:t>
      </w:r>
      <w:r w:rsidR="00374D82">
        <w:t xml:space="preserve"> with 78% MDA coverage</w:t>
      </w:r>
      <w:r>
        <w:t xml:space="preserve"> on its own</w:t>
      </w:r>
      <w:r w:rsidR="00374D82">
        <w:t>, but because of the increasing connectedness with village 1 which has a lower MDA coverage of only 70%, MDA threshold required for pre-elimination in village 2 increases.</w:t>
      </w:r>
      <w:r w:rsidR="003A31A9">
        <w:t xml:space="preserve"> This is a </w:t>
      </w:r>
      <w:r w:rsidR="003A31A9" w:rsidRPr="005A23B7">
        <w:rPr>
          <w:b/>
          <w:bCs/>
        </w:rPr>
        <w:t>negative assembly effect for village 2</w:t>
      </w:r>
      <w:r w:rsidR="003A31A9">
        <w:t xml:space="preserve"> (</w:t>
      </w:r>
      <w:r w:rsidR="00335CED">
        <w:fldChar w:fldCharType="begin"/>
      </w:r>
      <w:r w:rsidR="00335CED">
        <w:instrText xml:space="preserve"> REF _Ref17212938 \h </w:instrText>
      </w:r>
      <w:r w:rsidR="00335CED">
        <w:fldChar w:fldCharType="separate"/>
      </w:r>
      <w:r w:rsidR="00335CED">
        <w:t xml:space="preserve">Figure </w:t>
      </w:r>
      <w:r w:rsidR="00335CED">
        <w:rPr>
          <w:noProof/>
        </w:rPr>
        <w:t>2</w:t>
      </w:r>
      <w:r w:rsidR="00335CED">
        <w:fldChar w:fldCharType="end"/>
      </w:r>
      <w:r w:rsidR="00335CED">
        <w:t xml:space="preserve">, the </w:t>
      </w:r>
      <w:r w:rsidR="003A31A9">
        <w:t xml:space="preserve">grey area above </w:t>
      </w:r>
      <w:r w:rsidR="003B5736">
        <w:t xml:space="preserve">the red line which denotes </w:t>
      </w:r>
      <w:r w:rsidR="003A31A9">
        <w:t>the baseline MDA threshold of 78%). However, this increasing connectedness is beneficial to the village 1. At 70% MDA coverage, village 1 will not achieve pre-elimination on its own. B</w:t>
      </w:r>
      <w:r>
        <w:t>ut b</w:t>
      </w:r>
      <w:r w:rsidR="003A31A9">
        <w:t xml:space="preserve">ecause of the increasing connectedness with village 2 </w:t>
      </w:r>
      <w:r>
        <w:t>at 94% MDA coverage and above, pre-elimination is attainable in the village 1 (</w:t>
      </w:r>
      <w:r w:rsidR="001F2DB2">
        <w:fldChar w:fldCharType="begin"/>
      </w:r>
      <w:r w:rsidR="001F2DB2">
        <w:instrText xml:space="preserve"> REF _Ref17212938 \h </w:instrText>
      </w:r>
      <w:r w:rsidR="001F2DB2">
        <w:fldChar w:fldCharType="separate"/>
      </w:r>
      <w:r w:rsidR="001F2DB2">
        <w:t xml:space="preserve">Figure </w:t>
      </w:r>
      <w:r w:rsidR="001F2DB2">
        <w:rPr>
          <w:noProof/>
        </w:rPr>
        <w:t>2</w:t>
      </w:r>
      <w:r w:rsidR="001F2DB2">
        <w:fldChar w:fldCharType="end"/>
      </w:r>
      <w:r w:rsidR="001F2DB2">
        <w:t xml:space="preserve">, </w:t>
      </w:r>
      <w:r>
        <w:t xml:space="preserve">dark blue triangle at the upper right corner). This is a </w:t>
      </w:r>
      <w:r w:rsidRPr="005A23B7">
        <w:rPr>
          <w:b/>
          <w:bCs/>
        </w:rPr>
        <w:t>positive assembly effect for village 1</w:t>
      </w:r>
      <w:r>
        <w:t xml:space="preserve">. </w:t>
      </w:r>
    </w:p>
    <w:p w14:paraId="4E7EE422" w14:textId="1B8E7C33" w:rsidR="002156F1" w:rsidRDefault="002156F1" w:rsidP="00970EC7"/>
    <w:p w14:paraId="4EBB6E3C" w14:textId="0D19DF35" w:rsidR="006B1099" w:rsidRDefault="002648FB" w:rsidP="006B1099">
      <w:r w:rsidRPr="002648FB">
        <w:rPr>
          <w:noProof/>
        </w:rPr>
        <w:lastRenderedPageBreak/>
        <w:drawing>
          <wp:inline distT="0" distB="0" distL="0" distR="0" wp14:anchorId="50524766" wp14:editId="05D69311">
            <wp:extent cx="5727700" cy="3221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221990"/>
                    </a:xfrm>
                    <a:prstGeom prst="rect">
                      <a:avLst/>
                    </a:prstGeom>
                  </pic:spPr>
                </pic:pic>
              </a:graphicData>
            </a:graphic>
          </wp:inline>
        </w:drawing>
      </w:r>
      <w:r w:rsidR="006B1099">
        <w:t xml:space="preserve"> </w:t>
      </w:r>
    </w:p>
    <w:p w14:paraId="3494AF86" w14:textId="03E08AAB" w:rsidR="003B6FA1" w:rsidRDefault="003B6FA1" w:rsidP="003B6FA1">
      <w:pPr>
        <w:pStyle w:val="Caption"/>
      </w:pPr>
      <w:bookmarkStart w:id="2" w:name="_Ref17213544"/>
      <w:r>
        <w:t xml:space="preserve">Figure </w:t>
      </w:r>
      <w:r w:rsidR="00B837C8">
        <w:fldChar w:fldCharType="begin"/>
      </w:r>
      <w:r w:rsidR="00B837C8">
        <w:instrText xml:space="preserve"> SEQ Figure \* ARABIC </w:instrText>
      </w:r>
      <w:r w:rsidR="00B837C8">
        <w:fldChar w:fldCharType="separate"/>
      </w:r>
      <w:r w:rsidR="00D72229">
        <w:rPr>
          <w:noProof/>
        </w:rPr>
        <w:t>3</w:t>
      </w:r>
      <w:r w:rsidR="00B837C8">
        <w:rPr>
          <w:noProof/>
        </w:rPr>
        <w:fldChar w:fldCharType="end"/>
      </w:r>
      <w:bookmarkEnd w:id="2"/>
      <w:r>
        <w:t>: Achieving pre-elimination in the two connected villages by varying</w:t>
      </w:r>
      <w:r w:rsidRPr="001965A8">
        <w:t xml:space="preserve"> </w:t>
      </w:r>
      <w:r>
        <w:t>c</w:t>
      </w:r>
      <w:r w:rsidRPr="001965A8">
        <w:t xml:space="preserve">onnectedness between the two villages </w:t>
      </w:r>
      <w:r>
        <w:t xml:space="preserve">with </w:t>
      </w:r>
      <w:r w:rsidRPr="00D0482E">
        <w:rPr>
          <w:b/>
          <w:bCs/>
        </w:rPr>
        <w:t>same incidence</w:t>
      </w:r>
      <w:r w:rsidRPr="001965A8">
        <w:t xml:space="preserve"> (x-axis) and MDA coverage in the 2nd village (y-axis)</w:t>
      </w:r>
      <w:r>
        <w:t xml:space="preserve">. </w:t>
      </w:r>
      <w:r w:rsidRPr="00D0482E">
        <w:rPr>
          <w:b/>
          <w:bCs/>
        </w:rPr>
        <w:t xml:space="preserve">MDA coverage in village 1 is fixed at </w:t>
      </w:r>
      <w:r>
        <w:rPr>
          <w:b/>
          <w:bCs/>
        </w:rPr>
        <w:t>9</w:t>
      </w:r>
      <w:r w:rsidRPr="00D0482E">
        <w:rPr>
          <w:b/>
          <w:bCs/>
        </w:rPr>
        <w:t>0%.</w:t>
      </w:r>
      <w:r>
        <w:rPr>
          <w:b/>
          <w:bCs/>
        </w:rPr>
        <w:t xml:space="preserve"> </w:t>
      </w:r>
      <w:r w:rsidRPr="003B6FA1">
        <w:t xml:space="preserve">[Row 1, Column </w:t>
      </w:r>
      <w:r>
        <w:t>3</w:t>
      </w:r>
      <w:r w:rsidRPr="003B6FA1">
        <w:t xml:space="preserve"> of Figure 1]</w:t>
      </w:r>
    </w:p>
    <w:p w14:paraId="443F62BB" w14:textId="12C779A8" w:rsidR="006B1099" w:rsidRDefault="006B1099" w:rsidP="00970EC7">
      <w:r>
        <w:t>The tables are turned when the village 1 has higher MDA coverage (90% in this case)</w:t>
      </w:r>
      <w:r w:rsidR="001F2DB2">
        <w:t xml:space="preserve"> </w:t>
      </w:r>
      <w:r w:rsidR="001F2DB2">
        <w:fldChar w:fldCharType="begin"/>
      </w:r>
      <w:r w:rsidR="001F2DB2">
        <w:instrText xml:space="preserve"> REF _Ref17213544 \h </w:instrText>
      </w:r>
      <w:r w:rsidR="001F2DB2">
        <w:fldChar w:fldCharType="separate"/>
      </w:r>
      <w:r w:rsidR="001F2DB2">
        <w:t xml:space="preserve">Figure </w:t>
      </w:r>
      <w:r w:rsidR="001F2DB2">
        <w:rPr>
          <w:noProof/>
        </w:rPr>
        <w:t>3</w:t>
      </w:r>
      <w:r w:rsidR="001F2DB2">
        <w:fldChar w:fldCharType="end"/>
      </w:r>
      <w:r>
        <w:t xml:space="preserve">. The village 2 now experiences the positive assembly effect – the dark blue triangle below the red line, and the village 1 experiences the negative assembly effect – the grey section at the lower right corner, with the increase in </w:t>
      </w:r>
      <w:r w:rsidR="005A23B7">
        <w:t xml:space="preserve">the </w:t>
      </w:r>
      <w:r>
        <w:t xml:space="preserve">connectedness. </w:t>
      </w:r>
      <w:r w:rsidR="001B1DEF">
        <w:t xml:space="preserve">In this particular example, the positive assembly effect for village 2 starts at lower level of connectedness whereas the negative assembly effect for village 1 starts at higher level of connectedness (&gt;62%). The negative assembly effect for village 1 is expressed for wider range of MDA coverage (0-34%) in village 2.  </w:t>
      </w:r>
    </w:p>
    <w:p w14:paraId="75C6C3C3" w14:textId="77777777" w:rsidR="00C46475" w:rsidRDefault="00C46475" w:rsidP="00C46475"/>
    <w:p w14:paraId="07B6539E" w14:textId="5476F636" w:rsidR="00063601" w:rsidRDefault="00C46475" w:rsidP="00C46475">
      <w:r w:rsidRPr="001F2DB2">
        <w:rPr>
          <w:highlight w:val="yellow"/>
        </w:rPr>
        <w:t>Implications:</w:t>
      </w:r>
      <w:r>
        <w:t xml:space="preserve"> </w:t>
      </w:r>
    </w:p>
    <w:p w14:paraId="3E6DB731" w14:textId="5321AC4F" w:rsidR="00063601" w:rsidRDefault="00063601" w:rsidP="00063601">
      <w:r>
        <w:t>Version 1- Being connected to a 2</w:t>
      </w:r>
      <w:r w:rsidRPr="00063601">
        <w:rPr>
          <w:vertAlign w:val="superscript"/>
        </w:rPr>
        <w:t>nd</w:t>
      </w:r>
      <w:r>
        <w:t xml:space="preserve"> patch with similar incidence, but with higher coverage of intervention is beneficial to the 1</w:t>
      </w:r>
      <w:r w:rsidRPr="00063601">
        <w:rPr>
          <w:vertAlign w:val="superscript"/>
        </w:rPr>
        <w:t>st</w:t>
      </w:r>
      <w:r>
        <w:t xml:space="preserve"> patch [positive assembly effect on the 1</w:t>
      </w:r>
      <w:r w:rsidRPr="00063601">
        <w:rPr>
          <w:vertAlign w:val="superscript"/>
        </w:rPr>
        <w:t>st</w:t>
      </w:r>
      <w:r>
        <w:t xml:space="preserve"> patch]. But this benefit is at an expense of the 2</w:t>
      </w:r>
      <w:r w:rsidRPr="00063601">
        <w:rPr>
          <w:vertAlign w:val="superscript"/>
        </w:rPr>
        <w:t>nd</w:t>
      </w:r>
      <w:r>
        <w:t xml:space="preserve"> patch [negative assembly effect on the 2</w:t>
      </w:r>
      <w:r w:rsidRPr="00063601">
        <w:rPr>
          <w:vertAlign w:val="superscript"/>
        </w:rPr>
        <w:t>nd</w:t>
      </w:r>
      <w:r>
        <w:t xml:space="preserve"> patch]. A balance in coverage should be sought to achieve optimal impact of intervention on both of the connected patches</w:t>
      </w:r>
      <w:r w:rsidR="00E041E8">
        <w:t xml:space="preserve"> of the same incidence</w:t>
      </w:r>
      <w:r>
        <w:t xml:space="preserve">. </w:t>
      </w:r>
    </w:p>
    <w:p w14:paraId="72D05C31" w14:textId="77777777" w:rsidR="00063601" w:rsidRDefault="00063601" w:rsidP="00C46475"/>
    <w:p w14:paraId="71451E1D" w14:textId="55B3D12F" w:rsidR="00C46475" w:rsidRDefault="00063601" w:rsidP="00970EC7">
      <w:r>
        <w:t xml:space="preserve">Version 2- </w:t>
      </w:r>
      <w:r w:rsidR="001F2DB2">
        <w:t>Despite</w:t>
      </w:r>
      <w:r w:rsidR="00C46475">
        <w:t xml:space="preserve"> a high coverage of intervention</w:t>
      </w:r>
      <w:r w:rsidR="001F2DB2">
        <w:t xml:space="preserve"> in a patch</w:t>
      </w:r>
      <w:r w:rsidR="00C46475">
        <w:t>, if it is highly connected to another patch with similar incidence, but with lower intervention coverage, the intended effect will not be achieved</w:t>
      </w:r>
      <w:r w:rsidR="001544B3">
        <w:t xml:space="preserve"> [negative assembly effect on the former patch]</w:t>
      </w:r>
      <w:r w:rsidR="00C46475">
        <w:t>.</w:t>
      </w:r>
      <w:r w:rsidR="003B6FA1">
        <w:t xml:space="preserve"> </w:t>
      </w:r>
      <w:proofErr w:type="gramStart"/>
      <w:r w:rsidR="001F2DB2">
        <w:t>However</w:t>
      </w:r>
      <w:proofErr w:type="gramEnd"/>
      <w:r w:rsidR="001F2DB2">
        <w:t xml:space="preserve"> a</w:t>
      </w:r>
      <w:r w:rsidR="003B6FA1">
        <w:t xml:space="preserve">ll is not </w:t>
      </w:r>
      <w:r w:rsidR="00335CED">
        <w:t>in vain</w:t>
      </w:r>
      <w:r w:rsidR="003B6FA1">
        <w:t xml:space="preserve">, </w:t>
      </w:r>
      <w:r w:rsidR="001F2DB2">
        <w:t>because the connectedness is beneficial to the latter patch with lower intervention coverage</w:t>
      </w:r>
      <w:r w:rsidR="001544B3">
        <w:t xml:space="preserve"> [positive assembly effect on the latter patch]</w:t>
      </w:r>
      <w:r w:rsidR="001F2DB2">
        <w:t xml:space="preserve">. </w:t>
      </w:r>
      <w:r>
        <w:t xml:space="preserve">A balance in coverage should be sought to achieve optimal impact of intervention on both of the connected patches. </w:t>
      </w:r>
    </w:p>
    <w:p w14:paraId="0246E504" w14:textId="6FC99659" w:rsidR="00970EC7" w:rsidRDefault="00970EC7" w:rsidP="00970EC7">
      <w:pPr>
        <w:pBdr>
          <w:bottom w:val="single" w:sz="6" w:space="1" w:color="auto"/>
        </w:pBdr>
      </w:pPr>
    </w:p>
    <w:p w14:paraId="244069D5" w14:textId="77777777" w:rsidR="00741745" w:rsidRDefault="00741745" w:rsidP="00970EC7"/>
    <w:p w14:paraId="01679896" w14:textId="646DFF62" w:rsidR="00265528" w:rsidRDefault="00DE11E9" w:rsidP="00970EC7">
      <w:r w:rsidRPr="00DE11E9">
        <w:rPr>
          <w:noProof/>
        </w:rPr>
        <w:lastRenderedPageBreak/>
        <w:drawing>
          <wp:inline distT="0" distB="0" distL="0" distR="0" wp14:anchorId="05428CCA" wp14:editId="08631D0B">
            <wp:extent cx="5727700" cy="3221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221990"/>
                    </a:xfrm>
                    <a:prstGeom prst="rect">
                      <a:avLst/>
                    </a:prstGeom>
                  </pic:spPr>
                </pic:pic>
              </a:graphicData>
            </a:graphic>
          </wp:inline>
        </w:drawing>
      </w:r>
    </w:p>
    <w:p w14:paraId="6AEB2F23" w14:textId="41B8E744" w:rsidR="003B6FA1" w:rsidRDefault="003B6FA1" w:rsidP="003B6FA1">
      <w:pPr>
        <w:pStyle w:val="Caption"/>
      </w:pPr>
      <w:bookmarkStart w:id="3" w:name="_Ref17212296"/>
      <w:r>
        <w:t xml:space="preserve">Figure </w:t>
      </w:r>
      <w:r w:rsidR="00B837C8">
        <w:fldChar w:fldCharType="begin"/>
      </w:r>
      <w:r w:rsidR="00B837C8">
        <w:instrText xml:space="preserve"> SEQ Figure \* ARABIC </w:instrText>
      </w:r>
      <w:r w:rsidR="00B837C8">
        <w:fldChar w:fldCharType="separate"/>
      </w:r>
      <w:r w:rsidR="00D72229">
        <w:rPr>
          <w:noProof/>
        </w:rPr>
        <w:t>4</w:t>
      </w:r>
      <w:r w:rsidR="00B837C8">
        <w:rPr>
          <w:noProof/>
        </w:rPr>
        <w:fldChar w:fldCharType="end"/>
      </w:r>
      <w:bookmarkEnd w:id="3"/>
      <w:r>
        <w:t xml:space="preserve">: </w:t>
      </w:r>
      <w:r w:rsidR="00CA0325">
        <w:t xml:space="preserve">Targeting a hotspot with less than optimal coverage: </w:t>
      </w:r>
      <w:r w:rsidR="00CA0325" w:rsidRPr="00D0482E">
        <w:rPr>
          <w:b/>
          <w:bCs/>
        </w:rPr>
        <w:t>MDA coverage in village 1 is fixed at 70%.</w:t>
      </w:r>
      <w:r w:rsidR="00CA0325">
        <w:t xml:space="preserve"> Each pixel represents the</w:t>
      </w:r>
      <w:r>
        <w:t xml:space="preserve"> pre-elimination in the two connected villages by varying</w:t>
      </w:r>
      <w:r w:rsidRPr="001965A8">
        <w:t xml:space="preserve"> </w:t>
      </w:r>
      <w:r>
        <w:t>c</w:t>
      </w:r>
      <w:r w:rsidRPr="001965A8">
        <w:t xml:space="preserve">onnectedness between the two villages </w:t>
      </w:r>
      <w:r>
        <w:t xml:space="preserve">with </w:t>
      </w:r>
      <w:r>
        <w:rPr>
          <w:b/>
          <w:bCs/>
        </w:rPr>
        <w:t>25% lower</w:t>
      </w:r>
      <w:r w:rsidRPr="00D0482E">
        <w:rPr>
          <w:b/>
          <w:bCs/>
        </w:rPr>
        <w:t xml:space="preserve"> incidence</w:t>
      </w:r>
      <w:r w:rsidRPr="003B6FA1">
        <w:rPr>
          <w:b/>
          <w:bCs/>
        </w:rPr>
        <w:t xml:space="preserve"> in village 2</w:t>
      </w:r>
      <w:r>
        <w:t xml:space="preserve"> </w:t>
      </w:r>
      <w:r w:rsidRPr="001965A8">
        <w:t>(x-axis) and MDA coverage in the 2</w:t>
      </w:r>
      <w:r w:rsidRPr="003B6FA1">
        <w:rPr>
          <w:vertAlign w:val="superscript"/>
        </w:rPr>
        <w:t>nd</w:t>
      </w:r>
      <w:r>
        <w:t xml:space="preserve"> </w:t>
      </w:r>
      <w:r w:rsidRPr="001965A8">
        <w:t>village (y-axis)</w:t>
      </w:r>
      <w:r>
        <w:t xml:space="preserve">. </w:t>
      </w:r>
      <w:r w:rsidRPr="003B6FA1">
        <w:t xml:space="preserve">[Row </w:t>
      </w:r>
      <w:r>
        <w:t>2</w:t>
      </w:r>
      <w:r w:rsidRPr="003B6FA1">
        <w:t>, Column 1 of Figure 1]</w:t>
      </w:r>
    </w:p>
    <w:p w14:paraId="0905222B" w14:textId="77777777" w:rsidR="00741745" w:rsidRDefault="00741745" w:rsidP="00741745">
      <w:r>
        <w:t>When the two connected patches have different incidence (different HBR): village 2 has a lower HBR (of 12) than patch 1 (HBR of 16). If patch 2</w:t>
      </w:r>
      <w:r w:rsidRPr="00483E5F">
        <w:t xml:space="preserve"> </w:t>
      </w:r>
      <w:r>
        <w:t xml:space="preserve">is isolated, then it will have a low threshold of MDA coverage at 5%. </w:t>
      </w:r>
    </w:p>
    <w:p w14:paraId="1BC2F948" w14:textId="544B3440" w:rsidR="00C47471" w:rsidRDefault="00741745" w:rsidP="00970EC7">
      <w:r>
        <w:t>The MDA threshold in village 2 would increase with increasing connectedness between the two villages, g</w:t>
      </w:r>
      <w:r w:rsidR="00970EC7">
        <w:t xml:space="preserve">iven </w:t>
      </w:r>
      <w:r>
        <w:t xml:space="preserve">the village 1 has </w:t>
      </w:r>
      <w:r w:rsidR="00970EC7">
        <w:t>a</w:t>
      </w:r>
      <w:r w:rsidR="00483E5F">
        <w:t>n</w:t>
      </w:r>
      <w:r w:rsidR="00970EC7">
        <w:t xml:space="preserve"> MDA coverage </w:t>
      </w:r>
      <w:r w:rsidR="00483E5F">
        <w:t xml:space="preserve">slightly below its required threshold </w:t>
      </w:r>
      <w:r w:rsidR="00970EC7">
        <w:t>(</w:t>
      </w:r>
      <w:proofErr w:type="spellStart"/>
      <w:r w:rsidR="00483E5F">
        <w:t>eg</w:t>
      </w:r>
      <w:r w:rsidR="00970EC7">
        <w:t>.</w:t>
      </w:r>
      <w:proofErr w:type="spellEnd"/>
      <w:r w:rsidR="00970EC7">
        <w:t xml:space="preserve"> 70</w:t>
      </w:r>
      <w:r w:rsidR="00483E5F">
        <w:t>% in above</w:t>
      </w:r>
      <w:r w:rsidR="003B6FA1">
        <w:t xml:space="preserve"> </w:t>
      </w:r>
      <w:r w:rsidR="003B6FA1">
        <w:fldChar w:fldCharType="begin"/>
      </w:r>
      <w:r w:rsidR="003B6FA1">
        <w:instrText xml:space="preserve"> REF _Ref17212296 \h </w:instrText>
      </w:r>
      <w:r w:rsidR="003B6FA1">
        <w:fldChar w:fldCharType="separate"/>
      </w:r>
      <w:r w:rsidR="003B6FA1">
        <w:t xml:space="preserve">Figure </w:t>
      </w:r>
      <w:r w:rsidR="003B6FA1">
        <w:rPr>
          <w:noProof/>
        </w:rPr>
        <w:t>4</w:t>
      </w:r>
      <w:r w:rsidR="003B6FA1">
        <w:fldChar w:fldCharType="end"/>
      </w:r>
      <w:r w:rsidR="00970EC7">
        <w:t>)</w:t>
      </w:r>
      <w:r>
        <w:t>. This is</w:t>
      </w:r>
      <w:r w:rsidR="00483E5F">
        <w:t xml:space="preserve"> the negative assembly effect for village 2 denoted by the grey and orange portion above the red line of baseline threshold for village 2</w:t>
      </w:r>
      <w:r w:rsidR="00970EC7">
        <w:t xml:space="preserve">. </w:t>
      </w:r>
    </w:p>
    <w:p w14:paraId="47354C5D" w14:textId="6BAB73C4" w:rsidR="00741745" w:rsidRDefault="00741745" w:rsidP="00970EC7">
      <w:r>
        <w:t xml:space="preserve">Starting with the connectedness of 25%, having high MDA coverage in village 2 will exhibit a positive assembly effect towards the village 1, denoted by the dark blue and orange areas. </w:t>
      </w:r>
    </w:p>
    <w:p w14:paraId="1F422A51" w14:textId="77777777" w:rsidR="00416993" w:rsidRDefault="00416993" w:rsidP="00970EC7"/>
    <w:p w14:paraId="06E9D584" w14:textId="070DDC05" w:rsidR="00416993" w:rsidRDefault="00416993" w:rsidP="00970EC7">
      <w:pPr>
        <w:pBdr>
          <w:bottom w:val="double" w:sz="6" w:space="1" w:color="auto"/>
        </w:pBdr>
      </w:pPr>
      <w:r w:rsidRPr="0020665E">
        <w:rPr>
          <w:highlight w:val="yellow"/>
        </w:rPr>
        <w:t>Implications:</w:t>
      </w:r>
      <w:r>
        <w:t xml:space="preserve"> This could have a </w:t>
      </w:r>
      <w:proofErr w:type="gramStart"/>
      <w:r>
        <w:t>practical implications</w:t>
      </w:r>
      <w:proofErr w:type="gramEnd"/>
      <w:r>
        <w:t xml:space="preserve"> when we’re targeting malaria hotspots. The village 1 here could be regarded as a hotspot and </w:t>
      </w:r>
      <w:r w:rsidR="000A7989">
        <w:t xml:space="preserve">let’s </w:t>
      </w:r>
      <w:r>
        <w:t xml:space="preserve">suppose it has high connectedness (&gt;60%) to village 2 which is a </w:t>
      </w:r>
      <w:proofErr w:type="spellStart"/>
      <w:r>
        <w:t>coldspot</w:t>
      </w:r>
      <w:proofErr w:type="spellEnd"/>
      <w:r>
        <w:t>. Even if we could not achieve an intended MDA coverage in the hotspot village (</w:t>
      </w:r>
      <w:proofErr w:type="spellStart"/>
      <w:r>
        <w:t>ie</w:t>
      </w:r>
      <w:proofErr w:type="spellEnd"/>
      <w:r>
        <w:t xml:space="preserve">. 78% coverage) we could achieve pre-elimination in both villages by administering MDA to the village 2 </w:t>
      </w:r>
      <w:r w:rsidR="00116735">
        <w:t xml:space="preserve">with 30% coverage at most (the </w:t>
      </w:r>
      <w:r w:rsidR="00116735" w:rsidRPr="00D21574">
        <w:rPr>
          <w:color w:val="FF0000"/>
        </w:rPr>
        <w:t xml:space="preserve">red diamond </w:t>
      </w:r>
      <w:r w:rsidR="00116735">
        <w:t>in the</w:t>
      </w:r>
      <w:r w:rsidR="003B6FA1">
        <w:t xml:space="preserve"> </w:t>
      </w:r>
      <w:r w:rsidR="003B6FA1">
        <w:fldChar w:fldCharType="begin"/>
      </w:r>
      <w:r w:rsidR="003B6FA1">
        <w:instrText xml:space="preserve"> REF _Ref17212296 \h </w:instrText>
      </w:r>
      <w:r w:rsidR="003B6FA1">
        <w:fldChar w:fldCharType="separate"/>
      </w:r>
      <w:r w:rsidR="003B6FA1">
        <w:t xml:space="preserve">Figure </w:t>
      </w:r>
      <w:r w:rsidR="003B6FA1">
        <w:rPr>
          <w:noProof/>
        </w:rPr>
        <w:t>4</w:t>
      </w:r>
      <w:r w:rsidR="003B6FA1">
        <w:fldChar w:fldCharType="end"/>
      </w:r>
      <w:r w:rsidR="00116735">
        <w:t>).</w:t>
      </w:r>
      <w:r>
        <w:t xml:space="preserve"> </w:t>
      </w:r>
    </w:p>
    <w:p w14:paraId="7C7C51CE" w14:textId="577A6D0F" w:rsidR="00741745" w:rsidRDefault="00741745" w:rsidP="00970EC7"/>
    <w:p w14:paraId="27921007" w14:textId="52DF9262" w:rsidR="0017441B" w:rsidRDefault="002648FB" w:rsidP="00970EC7">
      <w:r w:rsidRPr="002648FB">
        <w:rPr>
          <w:noProof/>
        </w:rPr>
        <w:lastRenderedPageBreak/>
        <w:drawing>
          <wp:inline distT="0" distB="0" distL="0" distR="0" wp14:anchorId="600FAAB7" wp14:editId="7ABAA9F0">
            <wp:extent cx="5727700" cy="322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221990"/>
                    </a:xfrm>
                    <a:prstGeom prst="rect">
                      <a:avLst/>
                    </a:prstGeom>
                  </pic:spPr>
                </pic:pic>
              </a:graphicData>
            </a:graphic>
          </wp:inline>
        </w:drawing>
      </w:r>
    </w:p>
    <w:p w14:paraId="65FF89EC" w14:textId="666A928F" w:rsidR="00602032" w:rsidRDefault="00602032" w:rsidP="00602032">
      <w:pPr>
        <w:pStyle w:val="Caption"/>
      </w:pPr>
      <w:bookmarkStart w:id="4" w:name="_Ref17217355"/>
      <w:r>
        <w:t xml:space="preserve">Figure </w:t>
      </w:r>
      <w:r w:rsidR="00B837C8">
        <w:fldChar w:fldCharType="begin"/>
      </w:r>
      <w:r w:rsidR="00B837C8">
        <w:instrText xml:space="preserve"> SEQ Figure \* ARABIC </w:instrText>
      </w:r>
      <w:r w:rsidR="00B837C8">
        <w:fldChar w:fldCharType="separate"/>
      </w:r>
      <w:r w:rsidR="00D72229">
        <w:rPr>
          <w:noProof/>
        </w:rPr>
        <w:t>5</w:t>
      </w:r>
      <w:r w:rsidR="00B837C8">
        <w:rPr>
          <w:noProof/>
        </w:rPr>
        <w:fldChar w:fldCharType="end"/>
      </w:r>
      <w:bookmarkEnd w:id="4"/>
      <w:r>
        <w:t>: Achieving pre-elimination in the two connected villages by varying</w:t>
      </w:r>
      <w:r w:rsidRPr="001965A8">
        <w:t xml:space="preserve"> </w:t>
      </w:r>
      <w:r>
        <w:t>c</w:t>
      </w:r>
      <w:r w:rsidRPr="001965A8">
        <w:t xml:space="preserve">onnectedness between the two villages </w:t>
      </w:r>
      <w:r>
        <w:t xml:space="preserve">with </w:t>
      </w:r>
      <w:r>
        <w:rPr>
          <w:b/>
          <w:bCs/>
        </w:rPr>
        <w:t>25% lower</w:t>
      </w:r>
      <w:r w:rsidRPr="00D0482E">
        <w:rPr>
          <w:b/>
          <w:bCs/>
        </w:rPr>
        <w:t xml:space="preserve"> incidence</w:t>
      </w:r>
      <w:r w:rsidRPr="003B6FA1">
        <w:rPr>
          <w:b/>
          <w:bCs/>
        </w:rPr>
        <w:t xml:space="preserve"> in village 2</w:t>
      </w:r>
      <w:r>
        <w:t xml:space="preserve"> </w:t>
      </w:r>
      <w:r w:rsidRPr="001965A8">
        <w:t>(x-axis) and MDA coverage in the 2</w:t>
      </w:r>
      <w:r w:rsidRPr="003B6FA1">
        <w:rPr>
          <w:vertAlign w:val="superscript"/>
        </w:rPr>
        <w:t>nd</w:t>
      </w:r>
      <w:r>
        <w:t xml:space="preserve"> </w:t>
      </w:r>
      <w:r w:rsidRPr="001965A8">
        <w:t>village (y-axis)</w:t>
      </w:r>
      <w:r>
        <w:t xml:space="preserve">. </w:t>
      </w:r>
      <w:r w:rsidRPr="00D0482E">
        <w:rPr>
          <w:b/>
          <w:bCs/>
        </w:rPr>
        <w:t xml:space="preserve">MDA coverage in village 1 is fixed at </w:t>
      </w:r>
      <w:r>
        <w:rPr>
          <w:b/>
          <w:bCs/>
        </w:rPr>
        <w:t>8</w:t>
      </w:r>
      <w:r w:rsidRPr="00D0482E">
        <w:rPr>
          <w:b/>
          <w:bCs/>
        </w:rPr>
        <w:t>0%.</w:t>
      </w:r>
      <w:r>
        <w:rPr>
          <w:b/>
          <w:bCs/>
        </w:rPr>
        <w:t xml:space="preserve"> </w:t>
      </w:r>
      <w:r w:rsidRPr="003B6FA1">
        <w:t xml:space="preserve">[Row </w:t>
      </w:r>
      <w:r>
        <w:t>2</w:t>
      </w:r>
      <w:r w:rsidRPr="003B6FA1">
        <w:t xml:space="preserve">, Column </w:t>
      </w:r>
      <w:r>
        <w:t>2</w:t>
      </w:r>
      <w:r w:rsidRPr="003B6FA1">
        <w:t xml:space="preserve"> of Figure 1]</w:t>
      </w:r>
    </w:p>
    <w:p w14:paraId="7A3D109C" w14:textId="4A2D13C9" w:rsidR="00741745" w:rsidRDefault="00741745" w:rsidP="00970EC7">
      <w:r>
        <w:t>There is only one assembly effect in</w:t>
      </w:r>
      <w:r w:rsidR="00416676">
        <w:t xml:space="preserve"> </w:t>
      </w:r>
      <w:r w:rsidR="00416676">
        <w:fldChar w:fldCharType="begin"/>
      </w:r>
      <w:r w:rsidR="00416676">
        <w:instrText xml:space="preserve"> REF _Ref17217355 \h </w:instrText>
      </w:r>
      <w:r w:rsidR="00416676">
        <w:fldChar w:fldCharType="separate"/>
      </w:r>
      <w:r w:rsidR="00416676">
        <w:t xml:space="preserve">Figure </w:t>
      </w:r>
      <w:r w:rsidR="00416676">
        <w:rPr>
          <w:noProof/>
        </w:rPr>
        <w:t>5</w:t>
      </w:r>
      <w:r w:rsidR="00416676">
        <w:fldChar w:fldCharType="end"/>
      </w:r>
      <w:r>
        <w:t>, and that is the negative assembly effect on the village 2. No assembly effect is observed for the village 1. This makes sense as the MDA coverage is high for the village with higher incidence and no benefit would be gained from being connected to the village with lower incidence. The negative assembly effect on village 1 could be possible</w:t>
      </w:r>
      <w:r w:rsidR="000A7989">
        <w:t xml:space="preserve"> if the incidence in village 2 is higher than it currently is.</w:t>
      </w:r>
    </w:p>
    <w:p w14:paraId="658EB073" w14:textId="29942D86" w:rsidR="0017441B" w:rsidRDefault="002648FB" w:rsidP="00970EC7">
      <w:r w:rsidRPr="002648FB">
        <w:rPr>
          <w:noProof/>
        </w:rPr>
        <w:drawing>
          <wp:inline distT="0" distB="0" distL="0" distR="0" wp14:anchorId="528DD1B8" wp14:editId="0C6E8EE6">
            <wp:extent cx="5727700" cy="3221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221990"/>
                    </a:xfrm>
                    <a:prstGeom prst="rect">
                      <a:avLst/>
                    </a:prstGeom>
                  </pic:spPr>
                </pic:pic>
              </a:graphicData>
            </a:graphic>
          </wp:inline>
        </w:drawing>
      </w:r>
    </w:p>
    <w:p w14:paraId="508C72C6" w14:textId="555C802D" w:rsidR="00896ED5" w:rsidRDefault="00896ED5" w:rsidP="00896ED5">
      <w:pPr>
        <w:pStyle w:val="Caption"/>
      </w:pPr>
      <w:bookmarkStart w:id="5" w:name="_Ref17217567"/>
      <w:r>
        <w:t xml:space="preserve">Figure </w:t>
      </w:r>
      <w:fldSimple w:instr=" SEQ Figure \* ARABIC ">
        <w:r w:rsidR="00D72229">
          <w:rPr>
            <w:noProof/>
          </w:rPr>
          <w:t>6</w:t>
        </w:r>
      </w:fldSimple>
      <w:bookmarkEnd w:id="5"/>
      <w:r>
        <w:t>: Achieving pre-elimination in the two connected villages by varying</w:t>
      </w:r>
      <w:r w:rsidRPr="001965A8">
        <w:t xml:space="preserve"> </w:t>
      </w:r>
      <w:r>
        <w:t>c</w:t>
      </w:r>
      <w:r w:rsidRPr="001965A8">
        <w:t xml:space="preserve">onnectedness between the two villages </w:t>
      </w:r>
      <w:r>
        <w:t xml:space="preserve">with </w:t>
      </w:r>
      <w:r>
        <w:rPr>
          <w:b/>
          <w:bCs/>
        </w:rPr>
        <w:t>25% lower</w:t>
      </w:r>
      <w:r w:rsidRPr="00D0482E">
        <w:rPr>
          <w:b/>
          <w:bCs/>
        </w:rPr>
        <w:t xml:space="preserve"> incidence</w:t>
      </w:r>
      <w:r w:rsidRPr="003B6FA1">
        <w:rPr>
          <w:b/>
          <w:bCs/>
        </w:rPr>
        <w:t xml:space="preserve"> in village 2</w:t>
      </w:r>
      <w:r>
        <w:t xml:space="preserve"> </w:t>
      </w:r>
      <w:r w:rsidRPr="001965A8">
        <w:t>(x-axis) and MDA coverage in the 2</w:t>
      </w:r>
      <w:r w:rsidRPr="003B6FA1">
        <w:rPr>
          <w:vertAlign w:val="superscript"/>
        </w:rPr>
        <w:t>nd</w:t>
      </w:r>
      <w:r>
        <w:t xml:space="preserve"> </w:t>
      </w:r>
      <w:r w:rsidRPr="001965A8">
        <w:t>village (y-axis)</w:t>
      </w:r>
      <w:r>
        <w:t xml:space="preserve">. </w:t>
      </w:r>
      <w:r w:rsidRPr="00D0482E">
        <w:rPr>
          <w:b/>
          <w:bCs/>
        </w:rPr>
        <w:t xml:space="preserve">MDA coverage in village 1 is fixed at </w:t>
      </w:r>
      <w:r>
        <w:rPr>
          <w:b/>
          <w:bCs/>
        </w:rPr>
        <w:t>9</w:t>
      </w:r>
      <w:r w:rsidRPr="00D0482E">
        <w:rPr>
          <w:b/>
          <w:bCs/>
        </w:rPr>
        <w:t>0%.</w:t>
      </w:r>
      <w:r>
        <w:rPr>
          <w:b/>
          <w:bCs/>
        </w:rPr>
        <w:t xml:space="preserve"> </w:t>
      </w:r>
      <w:r w:rsidRPr="003B6FA1">
        <w:t xml:space="preserve">[Row </w:t>
      </w:r>
      <w:r>
        <w:t>2</w:t>
      </w:r>
      <w:r w:rsidRPr="003B6FA1">
        <w:t xml:space="preserve">, Column </w:t>
      </w:r>
      <w:r>
        <w:t>3</w:t>
      </w:r>
      <w:r w:rsidRPr="003B6FA1">
        <w:t xml:space="preserve"> of Figure 1]</w:t>
      </w:r>
    </w:p>
    <w:p w14:paraId="5635D5DF" w14:textId="7E1F2045" w:rsidR="0017441B" w:rsidRDefault="0017441B" w:rsidP="00970EC7">
      <w:r>
        <w:t>In</w:t>
      </w:r>
      <w:r w:rsidR="00896ED5">
        <w:t xml:space="preserve"> </w:t>
      </w:r>
      <w:r w:rsidR="00896ED5">
        <w:fldChar w:fldCharType="begin"/>
      </w:r>
      <w:r w:rsidR="00896ED5">
        <w:instrText xml:space="preserve"> REF _Ref17217567 \h </w:instrText>
      </w:r>
      <w:r w:rsidR="00896ED5">
        <w:fldChar w:fldCharType="separate"/>
      </w:r>
      <w:r w:rsidR="00896ED5">
        <w:t xml:space="preserve">Figure </w:t>
      </w:r>
      <w:r w:rsidR="00896ED5">
        <w:rPr>
          <w:noProof/>
        </w:rPr>
        <w:t>6</w:t>
      </w:r>
      <w:r w:rsidR="00896ED5">
        <w:fldChar w:fldCharType="end"/>
      </w:r>
      <w:r>
        <w:t>, the increase in the MDA threshold for village 2 plateau between 40% &amp; 80% of connectedness. This is where the balance</w:t>
      </w:r>
      <w:r w:rsidR="00416676">
        <w:t>/equilibrium</w:t>
      </w:r>
      <w:r>
        <w:t xml:space="preserve"> is achieved between the incidence</w:t>
      </w:r>
      <w:r w:rsidR="00416676">
        <w:t>s</w:t>
      </w:r>
      <w:r>
        <w:t xml:space="preserve"> </w:t>
      </w:r>
      <w:r w:rsidR="00416676">
        <w:t xml:space="preserve">of </w:t>
      </w:r>
      <w:r w:rsidR="00416676">
        <w:lastRenderedPageBreak/>
        <w:t>the two villages</w:t>
      </w:r>
      <w:r>
        <w:t>. Further increase in the connectedness decreases the MDA threshold</w:t>
      </w:r>
      <w:r w:rsidR="00416676">
        <w:t xml:space="preserve"> for village 2</w:t>
      </w:r>
      <w:r>
        <w:t xml:space="preserve">, hinting at the fact that </w:t>
      </w:r>
      <w:r w:rsidR="00896ED5">
        <w:t xml:space="preserve">the beneficial effect for village 2 from the </w:t>
      </w:r>
      <w:r>
        <w:t xml:space="preserve">MDA in village 1 </w:t>
      </w:r>
      <w:r w:rsidR="00896ED5">
        <w:t>comes only after certain level of connectedness</w:t>
      </w:r>
      <w:r>
        <w:t>.</w:t>
      </w:r>
    </w:p>
    <w:p w14:paraId="61676A0C" w14:textId="575C44AC" w:rsidR="00896ED5" w:rsidRDefault="00896ED5" w:rsidP="00970EC7"/>
    <w:p w14:paraId="09C34D0F" w14:textId="28A7F0BE" w:rsidR="00896ED5" w:rsidRDefault="00896ED5" w:rsidP="00970EC7">
      <w:r>
        <w:t>hinting at the fact that the MDA in village 1 is starting to be beneficial for the village 2</w:t>
      </w:r>
    </w:p>
    <w:p w14:paraId="762E518F" w14:textId="69FBC74B" w:rsidR="00416676" w:rsidRDefault="00416676" w:rsidP="00970EC7"/>
    <w:p w14:paraId="7B197B42" w14:textId="19B7B24E" w:rsidR="00416676" w:rsidRDefault="00416676" w:rsidP="00970EC7">
      <w:r>
        <w:t>Equilibrium happens first, then the effect of MDA comes next</w:t>
      </w:r>
    </w:p>
    <w:p w14:paraId="509E524C" w14:textId="77777777" w:rsidR="00741745" w:rsidRDefault="00741745" w:rsidP="00970EC7"/>
    <w:p w14:paraId="04841DBE" w14:textId="1D7ED053" w:rsidR="000A7989" w:rsidRDefault="00116735">
      <w:r w:rsidRPr="0020665E">
        <w:rPr>
          <w:highlight w:val="yellow"/>
        </w:rPr>
        <w:t>Implications:</w:t>
      </w:r>
      <w:r>
        <w:t xml:space="preserve"> </w:t>
      </w:r>
      <w:r w:rsidR="0020665E">
        <w:t>Targeting hotspots with adequate MDA coverage (</w:t>
      </w:r>
      <w:proofErr w:type="spellStart"/>
      <w:r w:rsidR="0020665E">
        <w:t>ie</w:t>
      </w:r>
      <w:proofErr w:type="spellEnd"/>
      <w:r w:rsidR="0020665E">
        <w:t xml:space="preserve"> greater than 78%) will always achieve great result for the hotspot village. However, the connected </w:t>
      </w:r>
      <w:proofErr w:type="spellStart"/>
      <w:r w:rsidR="0020665E">
        <w:t>coldspot</w:t>
      </w:r>
      <w:proofErr w:type="spellEnd"/>
      <w:r w:rsidR="0020665E">
        <w:t xml:space="preserve"> village should not be left without any intervention. As we see in the figures above, because of its increasing connectivity to the hotspot village, the threshold for MDA coverage in the </w:t>
      </w:r>
      <w:proofErr w:type="spellStart"/>
      <w:r w:rsidR="0020665E">
        <w:t>coldspot</w:t>
      </w:r>
      <w:proofErr w:type="spellEnd"/>
      <w:r w:rsidR="0020665E">
        <w:t xml:space="preserve"> village (village 2) rises albeit the</w:t>
      </w:r>
      <w:r w:rsidR="006958D7">
        <w:t xml:space="preserve"> resulting</w:t>
      </w:r>
      <w:r w:rsidR="0020665E">
        <w:t xml:space="preserve"> threshold level is quite low. Providing at least 21% MDA coverage in village 2 </w:t>
      </w:r>
      <w:r w:rsidR="00A81A81">
        <w:t>will be able to bring both villages to pre-elimination level.</w:t>
      </w:r>
      <w:r w:rsidR="000A7989">
        <w:t xml:space="preserve"> </w:t>
      </w:r>
    </w:p>
    <w:p w14:paraId="61CF0E59" w14:textId="269B1A9A" w:rsidR="007A6013" w:rsidRDefault="006958D7">
      <w:pPr>
        <w:pBdr>
          <w:bottom w:val="double" w:sz="6" w:space="1" w:color="auto"/>
        </w:pBdr>
      </w:pPr>
      <w:r>
        <w:t>Practically, it is often difficult to achieve high (&gt;80%) coverage for MDA, even after three rounds [</w:t>
      </w:r>
      <w:proofErr w:type="gramStart"/>
      <w:r>
        <w:t>cite ]</w:t>
      </w:r>
      <w:proofErr w:type="gramEnd"/>
      <w:r>
        <w:t xml:space="preserve">. Therefore, most scenarios of targeting hotspots would be like </w:t>
      </w:r>
      <w:r>
        <w:fldChar w:fldCharType="begin"/>
      </w:r>
      <w:r>
        <w:instrText xml:space="preserve"> REF _Ref17212296 \h </w:instrText>
      </w:r>
      <w:r>
        <w:fldChar w:fldCharType="separate"/>
      </w:r>
      <w:r>
        <w:t xml:space="preserve">Figure </w:t>
      </w:r>
      <w:r>
        <w:rPr>
          <w:noProof/>
        </w:rPr>
        <w:t>4</w:t>
      </w:r>
      <w:r>
        <w:fldChar w:fldCharType="end"/>
      </w:r>
      <w:r>
        <w:t xml:space="preserve">, where reinforcement of interventions in the connected </w:t>
      </w:r>
      <w:proofErr w:type="spellStart"/>
      <w:r>
        <w:t>coldspots</w:t>
      </w:r>
      <w:proofErr w:type="spellEnd"/>
      <w:r>
        <w:t xml:space="preserve"> would be beneficial [positive assembly effect for hotspots]. </w:t>
      </w:r>
      <w:r w:rsidR="000A7989">
        <w:t xml:space="preserve">It may be possible to do three rounds of focal MDA in the hotspot village and one round of focal MDA in the </w:t>
      </w:r>
      <w:proofErr w:type="spellStart"/>
      <w:r w:rsidR="000A7989">
        <w:t>coldspot</w:t>
      </w:r>
      <w:proofErr w:type="spellEnd"/>
      <w:r w:rsidR="000A7989">
        <w:t xml:space="preserve"> village to achieve such coverage.</w:t>
      </w:r>
    </w:p>
    <w:p w14:paraId="4916E7AD" w14:textId="77777777" w:rsidR="00E041E8" w:rsidRDefault="00E041E8"/>
    <w:p w14:paraId="4D7B5A35" w14:textId="427A00AA" w:rsidR="0075400F" w:rsidRDefault="00D72229">
      <w:r>
        <w:rPr>
          <w:noProof/>
        </w:rPr>
        <w:drawing>
          <wp:inline distT="0" distB="0" distL="0" distR="0" wp14:anchorId="392F626D" wp14:editId="3250026E">
            <wp:extent cx="3177666" cy="282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ogeniety_MDAcoverage_hiAPI_anno_90_2019-08-21 083724.png"/>
                    <pic:cNvPicPr/>
                  </pic:nvPicPr>
                  <pic:blipFill>
                    <a:blip r:embed="rId23">
                      <a:extLst>
                        <a:ext uri="{28A0092B-C50C-407E-A947-70E740481C1C}">
                          <a14:useLocalDpi xmlns:a14="http://schemas.microsoft.com/office/drawing/2010/main" val="0"/>
                        </a:ext>
                      </a:extLst>
                    </a:blip>
                    <a:stretch>
                      <a:fillRect/>
                    </a:stretch>
                  </pic:blipFill>
                  <pic:spPr>
                    <a:xfrm>
                      <a:off x="0" y="0"/>
                      <a:ext cx="3183570" cy="2829918"/>
                    </a:xfrm>
                    <a:prstGeom prst="rect">
                      <a:avLst/>
                    </a:prstGeom>
                  </pic:spPr>
                </pic:pic>
              </a:graphicData>
            </a:graphic>
          </wp:inline>
        </w:drawing>
      </w:r>
    </w:p>
    <w:p w14:paraId="5D785744" w14:textId="2D1FE8A2" w:rsidR="00D72229" w:rsidRPr="00116735" w:rsidRDefault="00D72229" w:rsidP="00D72229">
      <w:pPr>
        <w:pStyle w:val="Caption"/>
      </w:pPr>
      <w:bookmarkStart w:id="6" w:name="_Ref17272728"/>
      <w:r>
        <w:t xml:space="preserve">Figure </w:t>
      </w:r>
      <w:fldSimple w:instr=" SEQ Figure \* ARABIC ">
        <w:r>
          <w:rPr>
            <w:noProof/>
          </w:rPr>
          <w:t>7</w:t>
        </w:r>
      </w:fldSimple>
      <w:bookmarkEnd w:id="6"/>
      <w:r>
        <w:t xml:space="preserve">: The cost of </w:t>
      </w:r>
      <w:r w:rsidR="00B932AB">
        <w:t>being connected to</w:t>
      </w:r>
      <w:r>
        <w:t xml:space="preserve"> a</w:t>
      </w:r>
      <w:r w:rsidR="00B932AB">
        <w:t>nother</w:t>
      </w:r>
      <w:r>
        <w:t xml:space="preserve"> hotspot in focal MDA. </w:t>
      </w:r>
      <w:r>
        <w:t>Achieving pre-elimination in the two connected villages by varying</w:t>
      </w:r>
      <w:r w:rsidRPr="001965A8">
        <w:t xml:space="preserve"> </w:t>
      </w:r>
      <w:r>
        <w:t>c</w:t>
      </w:r>
      <w:r w:rsidRPr="001965A8">
        <w:t xml:space="preserve">onnectedness between the two villages </w:t>
      </w:r>
      <w:r>
        <w:t xml:space="preserve">with </w:t>
      </w:r>
      <w:r>
        <w:rPr>
          <w:b/>
          <w:bCs/>
        </w:rPr>
        <w:t xml:space="preserve">25% </w:t>
      </w:r>
      <w:r w:rsidR="00CA0325">
        <w:rPr>
          <w:b/>
          <w:bCs/>
        </w:rPr>
        <w:t>higher</w:t>
      </w:r>
      <w:r w:rsidRPr="00D0482E">
        <w:rPr>
          <w:b/>
          <w:bCs/>
        </w:rPr>
        <w:t xml:space="preserve"> incidence</w:t>
      </w:r>
      <w:r w:rsidRPr="003B6FA1">
        <w:rPr>
          <w:b/>
          <w:bCs/>
        </w:rPr>
        <w:t xml:space="preserve"> in village 2</w:t>
      </w:r>
      <w:r>
        <w:t xml:space="preserve"> </w:t>
      </w:r>
      <w:r w:rsidRPr="001965A8">
        <w:t>(x-axis) and MDA coverage in the 2</w:t>
      </w:r>
      <w:r w:rsidRPr="003B6FA1">
        <w:rPr>
          <w:vertAlign w:val="superscript"/>
        </w:rPr>
        <w:t>nd</w:t>
      </w:r>
      <w:r>
        <w:t xml:space="preserve"> </w:t>
      </w:r>
      <w:r w:rsidRPr="001965A8">
        <w:t>village (y-axis)</w:t>
      </w:r>
      <w:r>
        <w:t xml:space="preserve">. </w:t>
      </w:r>
      <w:r w:rsidRPr="00D0482E">
        <w:rPr>
          <w:b/>
          <w:bCs/>
        </w:rPr>
        <w:t xml:space="preserve">MDA coverage in village 1 is fixed at </w:t>
      </w:r>
      <w:r>
        <w:rPr>
          <w:b/>
          <w:bCs/>
        </w:rPr>
        <w:t>9</w:t>
      </w:r>
      <w:r w:rsidRPr="00D0482E">
        <w:rPr>
          <w:b/>
          <w:bCs/>
        </w:rPr>
        <w:t>0%.</w:t>
      </w:r>
      <w:r>
        <w:rPr>
          <w:b/>
          <w:bCs/>
        </w:rPr>
        <w:t xml:space="preserve"> </w:t>
      </w:r>
      <w:r w:rsidRPr="003B6FA1">
        <w:t xml:space="preserve">[Row </w:t>
      </w:r>
      <w:r w:rsidR="00CA0325">
        <w:t>3</w:t>
      </w:r>
      <w:r w:rsidRPr="003B6FA1">
        <w:t xml:space="preserve">, Column </w:t>
      </w:r>
      <w:r>
        <w:t>3</w:t>
      </w:r>
      <w:r w:rsidRPr="003B6FA1">
        <w:t xml:space="preserve"> of Figure 1]</w:t>
      </w:r>
    </w:p>
    <w:p w14:paraId="4696A6D5" w14:textId="590C686E" w:rsidR="0032057E" w:rsidRDefault="00CE1D9C" w:rsidP="007A6013">
      <w:r>
        <w:t xml:space="preserve">Here we look at the scenario where village 2 has 25% higher incidence and require very high coverage of MDA. This could be a result of either inadequacy in accompanying interventions such as EDAT and LLIN or rebound in incidence after the MDA due to re-importation of cases. </w:t>
      </w:r>
      <w:r w:rsidR="00B932AB">
        <w:t>If village 1, whose threshold for MDA is at 78%, is connected to village 2 with aforementioned scenario, there is a very high chance that the village 1 will no longer achieve elimination (</w:t>
      </w:r>
      <w:r w:rsidR="00B932AB">
        <w:fldChar w:fldCharType="begin"/>
      </w:r>
      <w:r w:rsidR="00B932AB">
        <w:instrText xml:space="preserve"> REF _Ref17272728 \h </w:instrText>
      </w:r>
      <w:r w:rsidR="00B932AB">
        <w:fldChar w:fldCharType="separate"/>
      </w:r>
      <w:r w:rsidR="00B932AB">
        <w:t xml:space="preserve">Figure </w:t>
      </w:r>
      <w:r w:rsidR="00B932AB">
        <w:rPr>
          <w:noProof/>
        </w:rPr>
        <w:t>7</w:t>
      </w:r>
      <w:r w:rsidR="00B932AB">
        <w:fldChar w:fldCharType="end"/>
      </w:r>
      <w:r w:rsidR="00B932AB">
        <w:t>, big grey area of negative assembly effect for village 1).</w:t>
      </w:r>
    </w:p>
    <w:p w14:paraId="0B6C05FF" w14:textId="27FED796" w:rsidR="00B932AB" w:rsidRDefault="00B932AB" w:rsidP="007A6013">
      <w:r>
        <w:t xml:space="preserve">It is extremely important to employ/improve other complementary interventions in addition to the MDA in the village 2 in this case. </w:t>
      </w:r>
    </w:p>
    <w:p w14:paraId="24C6C047" w14:textId="77777777" w:rsidR="00E041E8" w:rsidRDefault="00E041E8" w:rsidP="00E041E8">
      <w:r>
        <w:lastRenderedPageBreak/>
        <w:t>We found that unless we are 100% sure in identifying the hotspots, we should not deploy focal MDA. This is because if the targeted hotspot is connected to another place with higher malaria incidence but not covered by MDA, there is a high chance that the focal MDA will not work. Even then, other measures such as early diagnosis and treatment (EDAT) and long-lasting insecticide-treated nets (LLIN) have to be improved and maintained, because MDA alone will not achieve a sustainable outcome.</w:t>
      </w:r>
    </w:p>
    <w:p w14:paraId="76A14AFD" w14:textId="77777777" w:rsidR="00E041E8" w:rsidRDefault="00E041E8" w:rsidP="007A6013"/>
    <w:p w14:paraId="3AE01A03" w14:textId="173C9472" w:rsidR="004A77D9" w:rsidRDefault="004A77D9" w:rsidP="004A77D9">
      <w:pPr>
        <w:pStyle w:val="Heading2"/>
      </w:pPr>
      <w:r>
        <w:t xml:space="preserve">Model result with scenario similar to TOT </w:t>
      </w:r>
    </w:p>
    <w:p w14:paraId="0857C114" w14:textId="6B53624B" w:rsidR="00170EE3" w:rsidRPr="0075400F" w:rsidRDefault="00170EE3" w:rsidP="00170EE3">
      <w:r>
        <w:rPr>
          <w:lang w:val="en-US"/>
        </w:rPr>
        <w:t>For the specific scenario analysis for the particular village (TOT) which had different MDA coverage within the two parts of the village, the following MDA coverage and incidence parameters were used.</w:t>
      </w:r>
      <w:r w:rsidR="0075400F" w:rsidRPr="0075400F">
        <w:rPr>
          <w:lang w:val="en-US"/>
        </w:rPr>
        <w:t xml:space="preserve"> </w:t>
      </w:r>
      <w:r w:rsidR="0075400F">
        <w:rPr>
          <w:lang w:val="en-US"/>
        </w:rPr>
        <w:t>The s</w:t>
      </w:r>
      <w:r w:rsidR="0075400F">
        <w:rPr>
          <w:lang w:val="en-US"/>
        </w:rPr>
        <w:t>ize of each patch is assumed to be equal to one another.</w:t>
      </w:r>
    </w:p>
    <w:tbl>
      <w:tblPr>
        <w:tblStyle w:val="TableGrid"/>
        <w:tblW w:w="0" w:type="auto"/>
        <w:tblLook w:val="04A0" w:firstRow="1" w:lastRow="0" w:firstColumn="1" w:lastColumn="0" w:noHBand="0" w:noVBand="1"/>
      </w:tblPr>
      <w:tblGrid>
        <w:gridCol w:w="2400"/>
        <w:gridCol w:w="3606"/>
        <w:gridCol w:w="3004"/>
      </w:tblGrid>
      <w:tr w:rsidR="00170EE3" w14:paraId="4A3DFD89" w14:textId="77777777" w:rsidTr="00CB2A25">
        <w:tc>
          <w:tcPr>
            <w:tcW w:w="2400" w:type="dxa"/>
          </w:tcPr>
          <w:p w14:paraId="2996CB06" w14:textId="77777777" w:rsidR="00170EE3" w:rsidRDefault="00170EE3" w:rsidP="00CB2A25">
            <w:pPr>
              <w:rPr>
                <w:lang w:val="en-US"/>
              </w:rPr>
            </w:pPr>
          </w:p>
        </w:tc>
        <w:tc>
          <w:tcPr>
            <w:tcW w:w="3606" w:type="dxa"/>
          </w:tcPr>
          <w:p w14:paraId="18F765D8" w14:textId="77777777" w:rsidR="00170EE3" w:rsidRDefault="00170EE3" w:rsidP="00CB2A25">
            <w:pPr>
              <w:rPr>
                <w:lang w:val="en-US"/>
              </w:rPr>
            </w:pPr>
            <w:r>
              <w:rPr>
                <w:lang w:val="en-US"/>
              </w:rPr>
              <w:t>Patch 1</w:t>
            </w:r>
          </w:p>
        </w:tc>
        <w:tc>
          <w:tcPr>
            <w:tcW w:w="3004" w:type="dxa"/>
          </w:tcPr>
          <w:p w14:paraId="660ADFF1" w14:textId="77777777" w:rsidR="00170EE3" w:rsidRDefault="00170EE3" w:rsidP="00CB2A25">
            <w:pPr>
              <w:rPr>
                <w:lang w:val="en-US"/>
              </w:rPr>
            </w:pPr>
            <w:r>
              <w:rPr>
                <w:lang w:val="en-US"/>
              </w:rPr>
              <w:t>Patch 2</w:t>
            </w:r>
          </w:p>
        </w:tc>
      </w:tr>
      <w:tr w:rsidR="00170EE3" w14:paraId="218F4BD7" w14:textId="77777777" w:rsidTr="00CB2A25">
        <w:tc>
          <w:tcPr>
            <w:tcW w:w="2400" w:type="dxa"/>
          </w:tcPr>
          <w:p w14:paraId="47345A91" w14:textId="77777777" w:rsidR="00170EE3" w:rsidRDefault="00170EE3" w:rsidP="00CB2A25">
            <w:pPr>
              <w:rPr>
                <w:lang w:val="en-US"/>
              </w:rPr>
            </w:pPr>
            <w:r>
              <w:rPr>
                <w:lang w:val="en-US"/>
              </w:rPr>
              <w:t>MDA coverage</w:t>
            </w:r>
          </w:p>
        </w:tc>
        <w:tc>
          <w:tcPr>
            <w:tcW w:w="3606" w:type="dxa"/>
          </w:tcPr>
          <w:p w14:paraId="3E8358CC" w14:textId="77777777" w:rsidR="00170EE3" w:rsidRDefault="00170EE3" w:rsidP="00CB2A25">
            <w:pPr>
              <w:rPr>
                <w:lang w:val="en-US"/>
              </w:rPr>
            </w:pPr>
            <w:r w:rsidRPr="0079761D">
              <w:rPr>
                <w:lang w:val="en-US"/>
              </w:rPr>
              <w:t>81.56</w:t>
            </w:r>
          </w:p>
        </w:tc>
        <w:tc>
          <w:tcPr>
            <w:tcW w:w="3004" w:type="dxa"/>
          </w:tcPr>
          <w:p w14:paraId="4FF26812" w14:textId="77777777" w:rsidR="00170EE3" w:rsidRDefault="00170EE3" w:rsidP="00CB2A25">
            <w:pPr>
              <w:rPr>
                <w:lang w:val="en-US"/>
              </w:rPr>
            </w:pPr>
            <w:r>
              <w:rPr>
                <w:lang w:val="en-US"/>
              </w:rPr>
              <w:t>63.95 (a horizontal line in graph)</w:t>
            </w:r>
          </w:p>
        </w:tc>
      </w:tr>
      <w:tr w:rsidR="00170EE3" w14:paraId="124B50D4" w14:textId="77777777" w:rsidTr="00CB2A25">
        <w:tc>
          <w:tcPr>
            <w:tcW w:w="2400" w:type="dxa"/>
          </w:tcPr>
          <w:p w14:paraId="115D2DA8" w14:textId="77777777" w:rsidR="00170EE3" w:rsidRDefault="00170EE3" w:rsidP="00CB2A25">
            <w:pPr>
              <w:rPr>
                <w:lang w:val="en-US"/>
              </w:rPr>
            </w:pPr>
            <w:r>
              <w:rPr>
                <w:lang w:val="en-US"/>
              </w:rPr>
              <w:t>Maximum human biting rate</w:t>
            </w:r>
          </w:p>
        </w:tc>
        <w:tc>
          <w:tcPr>
            <w:tcW w:w="3606" w:type="dxa"/>
          </w:tcPr>
          <w:p w14:paraId="3EAD4280" w14:textId="77777777" w:rsidR="00170EE3" w:rsidRDefault="00170EE3" w:rsidP="00CB2A25">
            <w:pPr>
              <w:rPr>
                <w:lang w:val="en-US"/>
              </w:rPr>
            </w:pPr>
            <w:r>
              <w:rPr>
                <w:lang w:val="en-US"/>
              </w:rPr>
              <w:t>16</w:t>
            </w:r>
          </w:p>
        </w:tc>
        <w:tc>
          <w:tcPr>
            <w:tcW w:w="3004" w:type="dxa"/>
          </w:tcPr>
          <w:p w14:paraId="17DCF262" w14:textId="77777777" w:rsidR="00170EE3" w:rsidRDefault="00170EE3" w:rsidP="00CB2A25">
            <w:pPr>
              <w:rPr>
                <w:lang w:val="en-US"/>
              </w:rPr>
            </w:pPr>
            <w:r>
              <w:rPr>
                <w:lang w:val="en-US"/>
              </w:rPr>
              <w:t xml:space="preserve">16 </w:t>
            </w:r>
          </w:p>
        </w:tc>
      </w:tr>
      <w:tr w:rsidR="00170EE3" w14:paraId="33BE3859" w14:textId="77777777" w:rsidTr="00CB2A25">
        <w:tc>
          <w:tcPr>
            <w:tcW w:w="2400" w:type="dxa"/>
          </w:tcPr>
          <w:p w14:paraId="6E688378" w14:textId="77777777" w:rsidR="00170EE3" w:rsidRDefault="00170EE3" w:rsidP="00CB2A25">
            <w:pPr>
              <w:rPr>
                <w:lang w:val="en-US"/>
              </w:rPr>
            </w:pPr>
          </w:p>
        </w:tc>
        <w:tc>
          <w:tcPr>
            <w:tcW w:w="3606" w:type="dxa"/>
          </w:tcPr>
          <w:p w14:paraId="3A88841C" w14:textId="77777777" w:rsidR="00170EE3" w:rsidRDefault="00170EE3" w:rsidP="00CB2A25">
            <w:pPr>
              <w:rPr>
                <w:lang w:val="en-US"/>
              </w:rPr>
            </w:pPr>
          </w:p>
        </w:tc>
        <w:tc>
          <w:tcPr>
            <w:tcW w:w="3004" w:type="dxa"/>
          </w:tcPr>
          <w:p w14:paraId="22410735" w14:textId="77777777" w:rsidR="00170EE3" w:rsidRDefault="00170EE3" w:rsidP="00CB2A25">
            <w:pPr>
              <w:rPr>
                <w:lang w:val="en-US"/>
              </w:rPr>
            </w:pPr>
          </w:p>
        </w:tc>
      </w:tr>
    </w:tbl>
    <w:p w14:paraId="4252AB39" w14:textId="78EED6B2" w:rsidR="004A77D9" w:rsidRDefault="0075400F" w:rsidP="004A77D9">
      <w:pPr>
        <w:pStyle w:val="Heading2"/>
      </w:pPr>
      <w:r>
        <w:t xml:space="preserve"> </w:t>
      </w:r>
      <w:r w:rsidR="004A77D9">
        <w:rPr>
          <w:noProof/>
          <w:lang w:val="en-US"/>
        </w:rPr>
        <w:drawing>
          <wp:inline distT="0" distB="0" distL="0" distR="0" wp14:anchorId="4EFD627F" wp14:editId="6F6499E6">
            <wp:extent cx="2853080" cy="2536071"/>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ogeniety_MDAcoverage_81.56_2019-06-17 164813.png"/>
                    <pic:cNvPicPr/>
                  </pic:nvPicPr>
                  <pic:blipFill>
                    <a:blip r:embed="rId24">
                      <a:extLst>
                        <a:ext uri="{28A0092B-C50C-407E-A947-70E740481C1C}">
                          <a14:useLocalDpi xmlns:a14="http://schemas.microsoft.com/office/drawing/2010/main" val="0"/>
                        </a:ext>
                      </a:extLst>
                    </a:blip>
                    <a:stretch>
                      <a:fillRect/>
                    </a:stretch>
                  </pic:blipFill>
                  <pic:spPr>
                    <a:xfrm>
                      <a:off x="0" y="0"/>
                      <a:ext cx="2862409" cy="2544364"/>
                    </a:xfrm>
                    <a:prstGeom prst="rect">
                      <a:avLst/>
                    </a:prstGeom>
                  </pic:spPr>
                </pic:pic>
              </a:graphicData>
            </a:graphic>
          </wp:inline>
        </w:drawing>
      </w:r>
    </w:p>
    <w:p w14:paraId="787F8424" w14:textId="77777777" w:rsidR="004A77D9" w:rsidRDefault="004A77D9" w:rsidP="004A77D9">
      <w:r>
        <w:t>Fig. Scenario analysis: parameters calibrated with data from TOT</w:t>
      </w:r>
    </w:p>
    <w:p w14:paraId="57037659" w14:textId="77777777" w:rsidR="004A77D9" w:rsidRDefault="004A77D9" w:rsidP="007A6013"/>
    <w:p w14:paraId="3431A4DB" w14:textId="6F8E29AA" w:rsidR="007A6013" w:rsidRDefault="007A6013">
      <w:pPr>
        <w:rPr>
          <w:highlight w:val="yellow"/>
        </w:rPr>
      </w:pPr>
    </w:p>
    <w:p w14:paraId="37D41E0C" w14:textId="2382BD75" w:rsidR="008F07A8" w:rsidRDefault="00936EC1" w:rsidP="0032057E">
      <w:pPr>
        <w:pStyle w:val="Heading2"/>
      </w:pPr>
      <w:r>
        <w:t xml:space="preserve">More </w:t>
      </w:r>
      <w:r w:rsidR="0032057E">
        <w:t>General Model</w:t>
      </w:r>
      <w:r w:rsidR="00150E6A">
        <w:t>?</w:t>
      </w:r>
      <w:bookmarkStart w:id="7" w:name="_GoBack"/>
      <w:bookmarkEnd w:id="7"/>
    </w:p>
    <w:p w14:paraId="1642921A" w14:textId="12EBA326" w:rsidR="00936EC1" w:rsidRDefault="00936EC1" w:rsidP="00936EC1"/>
    <w:p w14:paraId="1D06F1D8" w14:textId="77777777" w:rsidR="00936EC1" w:rsidRDefault="00936EC1" w:rsidP="00936EC1">
      <w:pPr>
        <w:pStyle w:val="Heading1"/>
      </w:pPr>
      <w:r>
        <w:t>Discussion</w:t>
      </w:r>
    </w:p>
    <w:p w14:paraId="37492158" w14:textId="2172938A" w:rsidR="00F219F0" w:rsidRDefault="00F219F0" w:rsidP="00F219F0">
      <w:r>
        <w:t>A patch will experience a positive assembly effect when it is connected to another patch with higher intervention coverage and a negative assembly effect when it is connected to another patch with lesser intervention coverage.</w:t>
      </w:r>
    </w:p>
    <w:p w14:paraId="4392DD5D" w14:textId="74431685" w:rsidR="00D26157" w:rsidRDefault="00D26157" w:rsidP="00F219F0"/>
    <w:p w14:paraId="4CC3CF12" w14:textId="12835052" w:rsidR="00D26157" w:rsidRDefault="00D26157" w:rsidP="00F219F0">
      <w:r w:rsidRPr="00D26157">
        <w:rPr>
          <w:highlight w:val="yellow"/>
        </w:rPr>
        <w:t>Write about the scenario where you’re left with this model result and nothing else.</w:t>
      </w:r>
    </w:p>
    <w:p w14:paraId="700A877D" w14:textId="6C682A8B" w:rsidR="003276E8" w:rsidRDefault="003276E8" w:rsidP="003276E8">
      <w:r>
        <w:t>There are 10 villages with varying degree of malaria. How would you go about eliminating malaria in the most cost-effective way?</w:t>
      </w:r>
    </w:p>
    <w:p w14:paraId="5EFCC842" w14:textId="77777777" w:rsidR="003276E8" w:rsidRDefault="003276E8" w:rsidP="003276E8">
      <w:r>
        <w:tab/>
      </w:r>
      <w:r>
        <w:tab/>
        <w:t>○ What would you measure? H?</w:t>
      </w:r>
    </w:p>
    <w:p w14:paraId="229B83F0" w14:textId="77777777" w:rsidR="003276E8" w:rsidRDefault="003276E8" w:rsidP="003276E8">
      <w:r>
        <w:tab/>
      </w:r>
      <w:r>
        <w:tab/>
        <w:t xml:space="preserve">○ What would you do? </w:t>
      </w:r>
      <w:proofErr w:type="spellStart"/>
      <w:r>
        <w:t>eg.</w:t>
      </w:r>
      <w:proofErr w:type="spellEnd"/>
      <w:r>
        <w:t xml:space="preserve"> which village should get MDA, </w:t>
      </w:r>
      <w:proofErr w:type="gramStart"/>
      <w:r>
        <w:t>etc</w:t>
      </w:r>
      <w:proofErr w:type="gramEnd"/>
    </w:p>
    <w:p w14:paraId="54226077" w14:textId="12C77A51" w:rsidR="003276E8" w:rsidRDefault="003276E8" w:rsidP="003276E8">
      <w:r>
        <w:lastRenderedPageBreak/>
        <w:tab/>
      </w:r>
      <w:r>
        <w:tab/>
        <w:t>○ This could be a field guide for focal MDA strategy</w:t>
      </w:r>
    </w:p>
    <w:p w14:paraId="7D233A69" w14:textId="77777777" w:rsidR="003276E8" w:rsidRDefault="003276E8" w:rsidP="003276E8"/>
    <w:p w14:paraId="241BBCAC" w14:textId="6936C496" w:rsidR="00A12868" w:rsidRDefault="00A12868" w:rsidP="003276E8">
      <w:pPr>
        <w:pStyle w:val="ListParagraph"/>
        <w:numPr>
          <w:ilvl w:val="0"/>
          <w:numId w:val="2"/>
        </w:numPr>
      </w:pPr>
      <w:r>
        <w:t>Improve and maintain the routine interventions</w:t>
      </w:r>
    </w:p>
    <w:p w14:paraId="0DB323C8" w14:textId="1B3B9DD7" w:rsidR="003276E8" w:rsidRDefault="00A12868" w:rsidP="003276E8">
      <w:pPr>
        <w:pStyle w:val="ListParagraph"/>
        <w:numPr>
          <w:ilvl w:val="0"/>
          <w:numId w:val="2"/>
        </w:numPr>
      </w:pPr>
      <w:r>
        <w:t>Find out w</w:t>
      </w:r>
      <w:r w:rsidR="003276E8">
        <w:t>hich ones are the hotspots?</w:t>
      </w:r>
    </w:p>
    <w:p w14:paraId="552704A1" w14:textId="637FA669" w:rsidR="003276E8" w:rsidRDefault="003276E8" w:rsidP="003276E8">
      <w:pPr>
        <w:pStyle w:val="ListParagraph"/>
        <w:numPr>
          <w:ilvl w:val="0"/>
          <w:numId w:val="2"/>
        </w:numPr>
      </w:pPr>
      <w:r>
        <w:t xml:space="preserve">How much connected are the hotspots to other villages? </w:t>
      </w:r>
    </w:p>
    <w:p w14:paraId="54E96BDB" w14:textId="77777777" w:rsidR="003276E8" w:rsidRDefault="003276E8" w:rsidP="003276E8">
      <w:pPr>
        <w:pStyle w:val="ListParagraph"/>
        <w:numPr>
          <w:ilvl w:val="1"/>
          <w:numId w:val="2"/>
        </w:numPr>
      </w:pPr>
      <w:r>
        <w:t>Connectivity matrix</w:t>
      </w:r>
    </w:p>
    <w:p w14:paraId="19DB8275" w14:textId="77777777" w:rsidR="003276E8" w:rsidRDefault="003276E8" w:rsidP="003276E8">
      <w:pPr>
        <w:pStyle w:val="ListParagraph"/>
        <w:numPr>
          <w:ilvl w:val="1"/>
          <w:numId w:val="2"/>
        </w:numPr>
      </w:pPr>
      <w:r>
        <w:t>Travel surveys [</w:t>
      </w:r>
      <w:proofErr w:type="spellStart"/>
      <w:r>
        <w:t>Bhu’s</w:t>
      </w:r>
      <w:proofErr w:type="spellEnd"/>
      <w:r>
        <w:t xml:space="preserve"> paper]</w:t>
      </w:r>
    </w:p>
    <w:p w14:paraId="2E78BAD2" w14:textId="630E935F" w:rsidR="00936EC1" w:rsidRDefault="003276E8" w:rsidP="00936EC1">
      <w:pPr>
        <w:pStyle w:val="ListParagraph"/>
        <w:numPr>
          <w:ilvl w:val="0"/>
          <w:numId w:val="2"/>
        </w:numPr>
      </w:pPr>
      <w:r>
        <w:t xml:space="preserve">Do 3 MDA rounds in hotspots, 1 round in </w:t>
      </w:r>
      <w:proofErr w:type="spellStart"/>
      <w:r>
        <w:t>coldspots</w:t>
      </w:r>
      <w:proofErr w:type="spellEnd"/>
      <w:r>
        <w:t xml:space="preserve"> which are connected to the hotspots</w:t>
      </w:r>
    </w:p>
    <w:p w14:paraId="132EA8DD" w14:textId="77777777" w:rsidR="0075400F" w:rsidRDefault="0075400F" w:rsidP="00936EC1"/>
    <w:p w14:paraId="74DEA904" w14:textId="413893D4" w:rsidR="00936EC1" w:rsidRDefault="0075400F" w:rsidP="0075400F">
      <w:pPr>
        <w:pStyle w:val="Heading1"/>
      </w:pPr>
      <w:r>
        <w:t>Conclusion</w:t>
      </w:r>
    </w:p>
    <w:p w14:paraId="426481BD" w14:textId="77777777" w:rsidR="008C5112" w:rsidRDefault="008C5112" w:rsidP="008C5112">
      <w:pPr>
        <w:pStyle w:val="Heading2"/>
      </w:pPr>
      <w:r>
        <w:t>Policy recommendation</w:t>
      </w:r>
    </w:p>
    <w:p w14:paraId="24D1FB31" w14:textId="77777777" w:rsidR="008C5112" w:rsidRDefault="008C5112" w:rsidP="008C5112">
      <w:pPr>
        <w:pStyle w:val="ListParagraph"/>
        <w:numPr>
          <w:ilvl w:val="0"/>
          <w:numId w:val="3"/>
        </w:numPr>
      </w:pPr>
      <w:r>
        <w:t>Improve and maintain the routine interventions</w:t>
      </w:r>
    </w:p>
    <w:p w14:paraId="269E3DE0" w14:textId="77777777" w:rsidR="008C5112" w:rsidRDefault="008C5112" w:rsidP="008C5112">
      <w:pPr>
        <w:pStyle w:val="ListParagraph"/>
        <w:numPr>
          <w:ilvl w:val="0"/>
          <w:numId w:val="3"/>
        </w:numPr>
      </w:pPr>
      <w:r>
        <w:t>Connectivity matters, and depending on how connected the patch is to another patch with similar/higher/lower disease incidence the assembly effect will influence the outcome in that patch</w:t>
      </w:r>
    </w:p>
    <w:p w14:paraId="1FB88142" w14:textId="77777777" w:rsidR="008C5112" w:rsidRDefault="008C5112" w:rsidP="008C5112">
      <w:pPr>
        <w:pStyle w:val="ListParagraph"/>
        <w:numPr>
          <w:ilvl w:val="0"/>
          <w:numId w:val="3"/>
        </w:numPr>
      </w:pPr>
      <w:r>
        <w:t xml:space="preserve">In focal MDA, hotspots should receive higher coverage of MDA whereas the </w:t>
      </w:r>
      <w:proofErr w:type="spellStart"/>
      <w:r>
        <w:t>coldspots</w:t>
      </w:r>
      <w:proofErr w:type="spellEnd"/>
      <w:r>
        <w:t xml:space="preserve"> should receive some coverage of MDA.</w:t>
      </w:r>
    </w:p>
    <w:p w14:paraId="328C1092" w14:textId="77777777" w:rsidR="008C5112" w:rsidRPr="008C5112" w:rsidRDefault="008C5112" w:rsidP="008C5112"/>
    <w:p w14:paraId="6BBB8403" w14:textId="77777777" w:rsidR="002F201B" w:rsidRDefault="002F201B">
      <w:r>
        <w:br w:type="page"/>
      </w:r>
    </w:p>
    <w:p w14:paraId="534C8588" w14:textId="39AB8C65" w:rsidR="00F955D3" w:rsidRDefault="00F955D3" w:rsidP="00773AFA"/>
    <w:p w14:paraId="0535DE4E" w14:textId="459351F0" w:rsidR="00F955D3" w:rsidRDefault="00F955D3" w:rsidP="00F955D3">
      <w:pPr>
        <w:pStyle w:val="Heading1"/>
      </w:pPr>
      <w:r>
        <w:t>References</w:t>
      </w:r>
    </w:p>
    <w:p w14:paraId="7402E335" w14:textId="77777777" w:rsidR="008C63C1" w:rsidRDefault="008C63C1" w:rsidP="00773AFA"/>
    <w:p w14:paraId="36B2172F" w14:textId="77777777" w:rsidR="00960315" w:rsidRPr="00960315" w:rsidRDefault="00180CE3" w:rsidP="00960315">
      <w:pPr>
        <w:pStyle w:val="Bibliography"/>
        <w:rPr>
          <w:rFonts w:ascii="Calibri" w:cs="Calibri"/>
        </w:rPr>
      </w:pPr>
      <w:r>
        <w:fldChar w:fldCharType="begin"/>
      </w:r>
      <w:r>
        <w:instrText xml:space="preserve"> ADDIN ZOTERO_BIBL {"uncited":[],"omitted":[],"custom":[]} CSL_BIBLIOGRAPHY </w:instrText>
      </w:r>
      <w:r>
        <w:fldChar w:fldCharType="separate"/>
      </w:r>
      <w:r w:rsidR="00960315" w:rsidRPr="00960315">
        <w:rPr>
          <w:rFonts w:ascii="Calibri" w:cs="Calibri"/>
        </w:rPr>
        <w:t xml:space="preserve">1. </w:t>
      </w:r>
      <w:r w:rsidR="00960315" w:rsidRPr="00960315">
        <w:rPr>
          <w:rFonts w:ascii="Calibri" w:cs="Calibri"/>
        </w:rPr>
        <w:tab/>
        <w:t>Global Burden of Disease Collaborative Network. Global Burden of Disease Study 2017 (GBD 2017) Results. [Internet]. Seattle, United States: Institute for Health Metrics and Evaluation (IHME); 2019 [cited 2019 Aug 15]. Available from: http://ghdx.healthdata.org/gbd-results-tool</w:t>
      </w:r>
    </w:p>
    <w:p w14:paraId="693036EB" w14:textId="77777777" w:rsidR="00960315" w:rsidRPr="00960315" w:rsidRDefault="00960315" w:rsidP="00960315">
      <w:pPr>
        <w:pStyle w:val="Bibliography"/>
        <w:rPr>
          <w:rFonts w:ascii="Calibri" w:cs="Calibri"/>
        </w:rPr>
      </w:pPr>
      <w:r w:rsidRPr="00960315">
        <w:rPr>
          <w:rFonts w:ascii="Calibri" w:cs="Calibri"/>
        </w:rPr>
        <w:t xml:space="preserve">2. </w:t>
      </w:r>
      <w:r w:rsidRPr="00960315">
        <w:rPr>
          <w:rFonts w:ascii="Calibri" w:cs="Calibri"/>
        </w:rPr>
        <w:tab/>
        <w:t>R Core Team. R: A Language and Environment for Statistical Computing [Internet]. Vienna, Austria: R Foundation for Statistical Computing; 2019. Available from: https://www.R-project.org/</w:t>
      </w:r>
    </w:p>
    <w:p w14:paraId="79B7D532" w14:textId="77777777" w:rsidR="00960315" w:rsidRPr="00960315" w:rsidRDefault="00960315" w:rsidP="00960315">
      <w:pPr>
        <w:pStyle w:val="Bibliography"/>
        <w:rPr>
          <w:rFonts w:ascii="Calibri" w:cs="Calibri"/>
        </w:rPr>
      </w:pPr>
      <w:r w:rsidRPr="00960315">
        <w:rPr>
          <w:rFonts w:ascii="Calibri" w:cs="Calibri"/>
        </w:rPr>
        <w:t xml:space="preserve">3. </w:t>
      </w:r>
      <w:r w:rsidRPr="00960315">
        <w:rPr>
          <w:rFonts w:ascii="Calibri" w:cs="Calibri"/>
        </w:rPr>
        <w:tab/>
        <w:t xml:space="preserve">Soetaert K, Petzoldt T, Setzer RW. Solving Differential Equations in R: Package deSolve. Journal of Statistical Software. 2010;33(9):1–25. </w:t>
      </w:r>
    </w:p>
    <w:p w14:paraId="1C7ADAB9" w14:textId="77777777" w:rsidR="00960315" w:rsidRPr="00960315" w:rsidRDefault="00960315" w:rsidP="00960315">
      <w:pPr>
        <w:pStyle w:val="Bibliography"/>
        <w:rPr>
          <w:rFonts w:ascii="Calibri" w:cs="Calibri"/>
        </w:rPr>
      </w:pPr>
      <w:r w:rsidRPr="00960315">
        <w:rPr>
          <w:rFonts w:ascii="Calibri" w:cs="Calibri"/>
        </w:rPr>
        <w:t xml:space="preserve">4. </w:t>
      </w:r>
      <w:r w:rsidRPr="00960315">
        <w:rPr>
          <w:rFonts w:ascii="Calibri" w:cs="Calibri"/>
        </w:rPr>
        <w:tab/>
        <w:t xml:space="preserve">Eddelbuettel D, Francois R. Rcpp: Seamless R and C++ Integration. Journal of Statistical Software. 2011;40(8):1–18. </w:t>
      </w:r>
    </w:p>
    <w:p w14:paraId="3025B2EA" w14:textId="77777777" w:rsidR="00960315" w:rsidRPr="00960315" w:rsidRDefault="00960315" w:rsidP="00960315">
      <w:pPr>
        <w:pStyle w:val="Bibliography"/>
        <w:rPr>
          <w:rFonts w:ascii="Calibri" w:cs="Calibri"/>
        </w:rPr>
      </w:pPr>
      <w:r w:rsidRPr="00960315">
        <w:rPr>
          <w:rFonts w:ascii="Calibri" w:cs="Calibri"/>
        </w:rPr>
        <w:t xml:space="preserve">5. </w:t>
      </w:r>
      <w:r w:rsidRPr="00960315">
        <w:rPr>
          <w:rFonts w:ascii="Calibri" w:cs="Calibri"/>
        </w:rPr>
        <w:tab/>
        <w:t>Sarkar D. Lattice: Multivariate Data Visualization with R [Internet]. New York: Springer; 2008. Available from: http://lmdvr.r-forge.r-project.org</w:t>
      </w:r>
    </w:p>
    <w:p w14:paraId="314D8E54" w14:textId="77777777" w:rsidR="00960315" w:rsidRPr="00960315" w:rsidRDefault="00960315" w:rsidP="00960315">
      <w:pPr>
        <w:pStyle w:val="Bibliography"/>
        <w:rPr>
          <w:rFonts w:ascii="Calibri" w:cs="Calibri"/>
        </w:rPr>
      </w:pPr>
      <w:r w:rsidRPr="00960315">
        <w:rPr>
          <w:rFonts w:ascii="Calibri" w:cs="Calibri"/>
        </w:rPr>
        <w:t xml:space="preserve">6. </w:t>
      </w:r>
      <w:r w:rsidRPr="00960315">
        <w:rPr>
          <w:rFonts w:ascii="Calibri" w:cs="Calibri"/>
        </w:rPr>
        <w:tab/>
        <w:t xml:space="preserve">Tun STT, von Seidlein L, Pongvongsa T, Mayxay M, Saralamba S, Kyaw SS, et al. Towards malaria elimination in Savannakhet, Lao PDR: mathematical modelling driven strategy design. Malaria Journal. 2017 Nov 28;16(1):483. </w:t>
      </w:r>
    </w:p>
    <w:p w14:paraId="075A05C2" w14:textId="77777777" w:rsidR="00960315" w:rsidRPr="00960315" w:rsidRDefault="00960315" w:rsidP="00960315">
      <w:pPr>
        <w:pStyle w:val="Bibliography"/>
        <w:rPr>
          <w:rFonts w:ascii="Calibri" w:cs="Calibri"/>
        </w:rPr>
      </w:pPr>
      <w:r w:rsidRPr="00960315">
        <w:rPr>
          <w:rFonts w:ascii="Calibri" w:cs="Calibri"/>
        </w:rPr>
        <w:t xml:space="preserve">7. </w:t>
      </w:r>
      <w:r w:rsidRPr="00960315">
        <w:rPr>
          <w:rFonts w:ascii="Calibri" w:cs="Calibri"/>
        </w:rPr>
        <w:tab/>
        <w:t xml:space="preserve">Parker DM, Tun STT, White LJ, Kajeechiwa L, Thwin MM, Landier J, et al. Potential herd protection against Plasmodium falciparum infections conferred by mass antimalarial drug administrations. eLife. 2019 Apr 16;8:e41023. </w:t>
      </w:r>
    </w:p>
    <w:p w14:paraId="189F5827" w14:textId="720693FF" w:rsidR="00936EC1" w:rsidRDefault="00180CE3" w:rsidP="00773AFA">
      <w:r>
        <w:fldChar w:fldCharType="end"/>
      </w:r>
    </w:p>
    <w:p w14:paraId="56A0142F" w14:textId="77777777" w:rsidR="00936EC1" w:rsidRDefault="00936EC1" w:rsidP="00773AFA"/>
    <w:p w14:paraId="0AC700E4" w14:textId="34059E8B" w:rsidR="00773AFA" w:rsidRDefault="002233D5" w:rsidP="00773AFA">
      <w:r>
        <w:fldChar w:fldCharType="begin"/>
      </w:r>
      <w:r>
        <w:instrText xml:space="preserve"> ADDIN EN.REFLIST </w:instrText>
      </w:r>
      <w:r>
        <w:fldChar w:fldCharType="end"/>
      </w:r>
    </w:p>
    <w:sectPr w:rsidR="00773AFA" w:rsidSect="00D71929">
      <w:headerReference w:type="even" r:id="rId25"/>
      <w:headerReference w:type="default" r:id="rId26"/>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14068" w14:textId="77777777" w:rsidR="00B837C8" w:rsidRDefault="00B837C8" w:rsidP="004739F5">
      <w:r>
        <w:separator/>
      </w:r>
    </w:p>
  </w:endnote>
  <w:endnote w:type="continuationSeparator" w:id="0">
    <w:p w14:paraId="420E894D" w14:textId="77777777" w:rsidR="00B837C8" w:rsidRDefault="00B837C8" w:rsidP="0047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C7D89" w14:textId="77777777" w:rsidR="00B837C8" w:rsidRDefault="00B837C8" w:rsidP="004739F5">
      <w:r>
        <w:separator/>
      </w:r>
    </w:p>
  </w:footnote>
  <w:footnote w:type="continuationSeparator" w:id="0">
    <w:p w14:paraId="33C888E8" w14:textId="77777777" w:rsidR="00B837C8" w:rsidRDefault="00B837C8" w:rsidP="00473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7535869"/>
      <w:docPartObj>
        <w:docPartGallery w:val="Page Numbers (Top of Page)"/>
        <w:docPartUnique/>
      </w:docPartObj>
    </w:sdtPr>
    <w:sdtEndPr>
      <w:rPr>
        <w:rStyle w:val="PageNumber"/>
      </w:rPr>
    </w:sdtEndPr>
    <w:sdtContent>
      <w:p w14:paraId="1540890F" w14:textId="77777777" w:rsidR="00683894" w:rsidRDefault="00683894" w:rsidP="0002589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D6D2AC" w14:textId="77777777" w:rsidR="00683894" w:rsidRDefault="00683894" w:rsidP="004739F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6278864"/>
      <w:docPartObj>
        <w:docPartGallery w:val="Page Numbers (Top of Page)"/>
        <w:docPartUnique/>
      </w:docPartObj>
    </w:sdtPr>
    <w:sdtEndPr>
      <w:rPr>
        <w:rStyle w:val="PageNumber"/>
      </w:rPr>
    </w:sdtEndPr>
    <w:sdtContent>
      <w:p w14:paraId="063999ED" w14:textId="77777777" w:rsidR="00683894" w:rsidRDefault="00683894" w:rsidP="0002589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AD2D39D" w14:textId="77777777" w:rsidR="00683894" w:rsidRDefault="00683894" w:rsidP="004739F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4132DE"/>
    <w:multiLevelType w:val="hybridMultilevel"/>
    <w:tmpl w:val="80F60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4D723F"/>
    <w:multiLevelType w:val="hybridMultilevel"/>
    <w:tmpl w:val="64BE3DFC"/>
    <w:lvl w:ilvl="0" w:tplc="9BF0AD4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FF5A5E"/>
    <w:multiLevelType w:val="hybridMultilevel"/>
    <w:tmpl w:val="CF349500"/>
    <w:lvl w:ilvl="0" w:tplc="DCE03DC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xfzdxrw5dwdpwexef3vrxakes9ezeww5xf9&quot;&gt;My EndNote Library&lt;record-ids&gt;&lt;item&gt;293&lt;/item&gt;&lt;/record-ids&gt;&lt;/item&gt;&lt;/Libraries&gt;"/>
  </w:docVars>
  <w:rsids>
    <w:rsidRoot w:val="00244601"/>
    <w:rsid w:val="00016244"/>
    <w:rsid w:val="00020410"/>
    <w:rsid w:val="0002152D"/>
    <w:rsid w:val="00022216"/>
    <w:rsid w:val="00025897"/>
    <w:rsid w:val="00026568"/>
    <w:rsid w:val="00030878"/>
    <w:rsid w:val="0003286F"/>
    <w:rsid w:val="00040F96"/>
    <w:rsid w:val="000447AA"/>
    <w:rsid w:val="0004583C"/>
    <w:rsid w:val="00055E54"/>
    <w:rsid w:val="00062375"/>
    <w:rsid w:val="00063601"/>
    <w:rsid w:val="00065329"/>
    <w:rsid w:val="00067B80"/>
    <w:rsid w:val="00074FBB"/>
    <w:rsid w:val="00075D8F"/>
    <w:rsid w:val="0008350A"/>
    <w:rsid w:val="0008721F"/>
    <w:rsid w:val="000A7989"/>
    <w:rsid w:val="000C0185"/>
    <w:rsid w:val="000C27C1"/>
    <w:rsid w:val="000D306D"/>
    <w:rsid w:val="000D3C42"/>
    <w:rsid w:val="000F0DFF"/>
    <w:rsid w:val="000F130C"/>
    <w:rsid w:val="000F25B0"/>
    <w:rsid w:val="000F5513"/>
    <w:rsid w:val="00105667"/>
    <w:rsid w:val="00111739"/>
    <w:rsid w:val="00116735"/>
    <w:rsid w:val="00116CDB"/>
    <w:rsid w:val="00146404"/>
    <w:rsid w:val="00146813"/>
    <w:rsid w:val="00146CB8"/>
    <w:rsid w:val="00150E6A"/>
    <w:rsid w:val="001544B3"/>
    <w:rsid w:val="00156D9A"/>
    <w:rsid w:val="00170EE3"/>
    <w:rsid w:val="00172B3E"/>
    <w:rsid w:val="0017441B"/>
    <w:rsid w:val="00180CE3"/>
    <w:rsid w:val="001A121F"/>
    <w:rsid w:val="001B1B3D"/>
    <w:rsid w:val="001B1DEF"/>
    <w:rsid w:val="001B2DCC"/>
    <w:rsid w:val="001C2F1E"/>
    <w:rsid w:val="001D3E11"/>
    <w:rsid w:val="001E069E"/>
    <w:rsid w:val="001F2DB2"/>
    <w:rsid w:val="0020665E"/>
    <w:rsid w:val="002156F1"/>
    <w:rsid w:val="0021771B"/>
    <w:rsid w:val="002233D5"/>
    <w:rsid w:val="00242D77"/>
    <w:rsid w:val="00244601"/>
    <w:rsid w:val="00246809"/>
    <w:rsid w:val="00247913"/>
    <w:rsid w:val="002504A8"/>
    <w:rsid w:val="00250FE4"/>
    <w:rsid w:val="002550D9"/>
    <w:rsid w:val="002550FF"/>
    <w:rsid w:val="002554D4"/>
    <w:rsid w:val="00256333"/>
    <w:rsid w:val="00260BF8"/>
    <w:rsid w:val="002648FB"/>
    <w:rsid w:val="00265446"/>
    <w:rsid w:val="00265528"/>
    <w:rsid w:val="00281F00"/>
    <w:rsid w:val="00282710"/>
    <w:rsid w:val="0028284E"/>
    <w:rsid w:val="00282A79"/>
    <w:rsid w:val="00282BB6"/>
    <w:rsid w:val="002900B5"/>
    <w:rsid w:val="002A364E"/>
    <w:rsid w:val="002C50E3"/>
    <w:rsid w:val="002D7848"/>
    <w:rsid w:val="002E1046"/>
    <w:rsid w:val="002E4FA1"/>
    <w:rsid w:val="002F201B"/>
    <w:rsid w:val="00301FE3"/>
    <w:rsid w:val="0030288F"/>
    <w:rsid w:val="00303BC1"/>
    <w:rsid w:val="003136B9"/>
    <w:rsid w:val="0031501F"/>
    <w:rsid w:val="00320524"/>
    <w:rsid w:val="0032057E"/>
    <w:rsid w:val="00325322"/>
    <w:rsid w:val="003276E8"/>
    <w:rsid w:val="00335CED"/>
    <w:rsid w:val="00337B8C"/>
    <w:rsid w:val="0035106B"/>
    <w:rsid w:val="00352FAB"/>
    <w:rsid w:val="0035413F"/>
    <w:rsid w:val="00374D15"/>
    <w:rsid w:val="00374D82"/>
    <w:rsid w:val="00381C86"/>
    <w:rsid w:val="00390CE6"/>
    <w:rsid w:val="00393A89"/>
    <w:rsid w:val="00397543"/>
    <w:rsid w:val="003A31A9"/>
    <w:rsid w:val="003A5049"/>
    <w:rsid w:val="003B4B50"/>
    <w:rsid w:val="003B5736"/>
    <w:rsid w:val="003B6FA1"/>
    <w:rsid w:val="003C1A24"/>
    <w:rsid w:val="003D0D95"/>
    <w:rsid w:val="003E0148"/>
    <w:rsid w:val="003E168E"/>
    <w:rsid w:val="003E4924"/>
    <w:rsid w:val="003F5F4B"/>
    <w:rsid w:val="003F6D7C"/>
    <w:rsid w:val="00400F78"/>
    <w:rsid w:val="00407A95"/>
    <w:rsid w:val="00416676"/>
    <w:rsid w:val="00416993"/>
    <w:rsid w:val="00421F97"/>
    <w:rsid w:val="004225F5"/>
    <w:rsid w:val="00432FD3"/>
    <w:rsid w:val="00441C8E"/>
    <w:rsid w:val="004739F5"/>
    <w:rsid w:val="00474926"/>
    <w:rsid w:val="00477845"/>
    <w:rsid w:val="00483E5F"/>
    <w:rsid w:val="004A56AE"/>
    <w:rsid w:val="004A77D9"/>
    <w:rsid w:val="004B1428"/>
    <w:rsid w:val="004B69BB"/>
    <w:rsid w:val="004D1CD8"/>
    <w:rsid w:val="004D3843"/>
    <w:rsid w:val="004D4C47"/>
    <w:rsid w:val="004E0006"/>
    <w:rsid w:val="004E40B7"/>
    <w:rsid w:val="004E79F7"/>
    <w:rsid w:val="00501EF5"/>
    <w:rsid w:val="00522FC6"/>
    <w:rsid w:val="0052643D"/>
    <w:rsid w:val="00530087"/>
    <w:rsid w:val="00540330"/>
    <w:rsid w:val="00554018"/>
    <w:rsid w:val="00555638"/>
    <w:rsid w:val="00563BA9"/>
    <w:rsid w:val="00565D2D"/>
    <w:rsid w:val="00573006"/>
    <w:rsid w:val="0058603E"/>
    <w:rsid w:val="00587A17"/>
    <w:rsid w:val="00591CC0"/>
    <w:rsid w:val="0059262E"/>
    <w:rsid w:val="0059610D"/>
    <w:rsid w:val="005A23B7"/>
    <w:rsid w:val="005B3C5A"/>
    <w:rsid w:val="005C3F57"/>
    <w:rsid w:val="005F6844"/>
    <w:rsid w:val="00602032"/>
    <w:rsid w:val="00617DBC"/>
    <w:rsid w:val="00632AA2"/>
    <w:rsid w:val="006470D3"/>
    <w:rsid w:val="00680DE8"/>
    <w:rsid w:val="00683894"/>
    <w:rsid w:val="00691B23"/>
    <w:rsid w:val="006927C6"/>
    <w:rsid w:val="00694EAE"/>
    <w:rsid w:val="006958D7"/>
    <w:rsid w:val="006A63DE"/>
    <w:rsid w:val="006B1099"/>
    <w:rsid w:val="006C7EEB"/>
    <w:rsid w:val="006D74F2"/>
    <w:rsid w:val="006E5876"/>
    <w:rsid w:val="00723FCA"/>
    <w:rsid w:val="0072678C"/>
    <w:rsid w:val="0073416E"/>
    <w:rsid w:val="00741745"/>
    <w:rsid w:val="00744981"/>
    <w:rsid w:val="0074763E"/>
    <w:rsid w:val="00751FC6"/>
    <w:rsid w:val="0075400F"/>
    <w:rsid w:val="00761EE9"/>
    <w:rsid w:val="00763F4A"/>
    <w:rsid w:val="00771183"/>
    <w:rsid w:val="00773AFA"/>
    <w:rsid w:val="007770A1"/>
    <w:rsid w:val="00786CB6"/>
    <w:rsid w:val="0078745E"/>
    <w:rsid w:val="00787B34"/>
    <w:rsid w:val="00795379"/>
    <w:rsid w:val="0079761D"/>
    <w:rsid w:val="007A0D3B"/>
    <w:rsid w:val="007A4229"/>
    <w:rsid w:val="007A6013"/>
    <w:rsid w:val="007B668F"/>
    <w:rsid w:val="007D3707"/>
    <w:rsid w:val="00807C43"/>
    <w:rsid w:val="00812B57"/>
    <w:rsid w:val="00814654"/>
    <w:rsid w:val="0082105E"/>
    <w:rsid w:val="00823B25"/>
    <w:rsid w:val="00826A4B"/>
    <w:rsid w:val="00864B80"/>
    <w:rsid w:val="008778CD"/>
    <w:rsid w:val="00883F55"/>
    <w:rsid w:val="0089291E"/>
    <w:rsid w:val="00896ED5"/>
    <w:rsid w:val="008A02B9"/>
    <w:rsid w:val="008A2111"/>
    <w:rsid w:val="008A5F87"/>
    <w:rsid w:val="008A79DD"/>
    <w:rsid w:val="008B067C"/>
    <w:rsid w:val="008B1352"/>
    <w:rsid w:val="008B5F9A"/>
    <w:rsid w:val="008C0F42"/>
    <w:rsid w:val="008C5112"/>
    <w:rsid w:val="008C63C1"/>
    <w:rsid w:val="008D0654"/>
    <w:rsid w:val="008D2AF4"/>
    <w:rsid w:val="008D5BE0"/>
    <w:rsid w:val="008E18A4"/>
    <w:rsid w:val="008F0524"/>
    <w:rsid w:val="008F07A8"/>
    <w:rsid w:val="00914BB3"/>
    <w:rsid w:val="00916C27"/>
    <w:rsid w:val="00920B56"/>
    <w:rsid w:val="0092323D"/>
    <w:rsid w:val="009278BC"/>
    <w:rsid w:val="00936A5E"/>
    <w:rsid w:val="00936EC1"/>
    <w:rsid w:val="009444DB"/>
    <w:rsid w:val="009500B8"/>
    <w:rsid w:val="00960315"/>
    <w:rsid w:val="009606EE"/>
    <w:rsid w:val="00967C28"/>
    <w:rsid w:val="00967F1C"/>
    <w:rsid w:val="00970101"/>
    <w:rsid w:val="00970EC7"/>
    <w:rsid w:val="00982170"/>
    <w:rsid w:val="00987EC4"/>
    <w:rsid w:val="00992F8A"/>
    <w:rsid w:val="009B1A24"/>
    <w:rsid w:val="009B6D33"/>
    <w:rsid w:val="009C6466"/>
    <w:rsid w:val="009D216E"/>
    <w:rsid w:val="009F399A"/>
    <w:rsid w:val="00A03054"/>
    <w:rsid w:val="00A12868"/>
    <w:rsid w:val="00A17037"/>
    <w:rsid w:val="00A22843"/>
    <w:rsid w:val="00A238CE"/>
    <w:rsid w:val="00A34CB5"/>
    <w:rsid w:val="00A5135B"/>
    <w:rsid w:val="00A52940"/>
    <w:rsid w:val="00A66D79"/>
    <w:rsid w:val="00A726F4"/>
    <w:rsid w:val="00A81A81"/>
    <w:rsid w:val="00A9184A"/>
    <w:rsid w:val="00A93598"/>
    <w:rsid w:val="00A94683"/>
    <w:rsid w:val="00A95E2C"/>
    <w:rsid w:val="00A97887"/>
    <w:rsid w:val="00AA1EF2"/>
    <w:rsid w:val="00AA48C5"/>
    <w:rsid w:val="00AB2864"/>
    <w:rsid w:val="00AB3668"/>
    <w:rsid w:val="00AB376C"/>
    <w:rsid w:val="00AB7D64"/>
    <w:rsid w:val="00AC3004"/>
    <w:rsid w:val="00AD4822"/>
    <w:rsid w:val="00AE02DF"/>
    <w:rsid w:val="00AE2991"/>
    <w:rsid w:val="00AF2F3A"/>
    <w:rsid w:val="00AF4523"/>
    <w:rsid w:val="00B030F9"/>
    <w:rsid w:val="00B07B39"/>
    <w:rsid w:val="00B128A3"/>
    <w:rsid w:val="00B150B4"/>
    <w:rsid w:val="00B73A35"/>
    <w:rsid w:val="00B73EDD"/>
    <w:rsid w:val="00B752B9"/>
    <w:rsid w:val="00B76B4E"/>
    <w:rsid w:val="00B837C8"/>
    <w:rsid w:val="00B932AB"/>
    <w:rsid w:val="00B97F22"/>
    <w:rsid w:val="00BA0A83"/>
    <w:rsid w:val="00BA78A7"/>
    <w:rsid w:val="00BC43F2"/>
    <w:rsid w:val="00BD6F5D"/>
    <w:rsid w:val="00BE1EFF"/>
    <w:rsid w:val="00BE5348"/>
    <w:rsid w:val="00BF2FB6"/>
    <w:rsid w:val="00BF3AC5"/>
    <w:rsid w:val="00BF3F2C"/>
    <w:rsid w:val="00BF5CF3"/>
    <w:rsid w:val="00C011F1"/>
    <w:rsid w:val="00C0237B"/>
    <w:rsid w:val="00C13B0D"/>
    <w:rsid w:val="00C23425"/>
    <w:rsid w:val="00C24F8D"/>
    <w:rsid w:val="00C3568D"/>
    <w:rsid w:val="00C362C6"/>
    <w:rsid w:val="00C44B5A"/>
    <w:rsid w:val="00C46475"/>
    <w:rsid w:val="00C47471"/>
    <w:rsid w:val="00C5112D"/>
    <w:rsid w:val="00C571D7"/>
    <w:rsid w:val="00C57677"/>
    <w:rsid w:val="00C61CB5"/>
    <w:rsid w:val="00C62229"/>
    <w:rsid w:val="00C65414"/>
    <w:rsid w:val="00C84517"/>
    <w:rsid w:val="00C93ED1"/>
    <w:rsid w:val="00CA0325"/>
    <w:rsid w:val="00CB119D"/>
    <w:rsid w:val="00CB3E6D"/>
    <w:rsid w:val="00CD1986"/>
    <w:rsid w:val="00CD3533"/>
    <w:rsid w:val="00CE1D9C"/>
    <w:rsid w:val="00CE4266"/>
    <w:rsid w:val="00CE7A3C"/>
    <w:rsid w:val="00CF3475"/>
    <w:rsid w:val="00D0482E"/>
    <w:rsid w:val="00D10B26"/>
    <w:rsid w:val="00D21574"/>
    <w:rsid w:val="00D26157"/>
    <w:rsid w:val="00D2698B"/>
    <w:rsid w:val="00D33DC6"/>
    <w:rsid w:val="00D3774C"/>
    <w:rsid w:val="00D41848"/>
    <w:rsid w:val="00D43D72"/>
    <w:rsid w:val="00D55CFB"/>
    <w:rsid w:val="00D63E5A"/>
    <w:rsid w:val="00D654B9"/>
    <w:rsid w:val="00D71929"/>
    <w:rsid w:val="00D72229"/>
    <w:rsid w:val="00D82712"/>
    <w:rsid w:val="00D83FF0"/>
    <w:rsid w:val="00D86689"/>
    <w:rsid w:val="00D918F1"/>
    <w:rsid w:val="00DB1FFA"/>
    <w:rsid w:val="00DB57D4"/>
    <w:rsid w:val="00DB636C"/>
    <w:rsid w:val="00DC181E"/>
    <w:rsid w:val="00DC3A7E"/>
    <w:rsid w:val="00DD3FF3"/>
    <w:rsid w:val="00DE01C6"/>
    <w:rsid w:val="00DE11E9"/>
    <w:rsid w:val="00E026EC"/>
    <w:rsid w:val="00E0288B"/>
    <w:rsid w:val="00E041E8"/>
    <w:rsid w:val="00E12048"/>
    <w:rsid w:val="00E16405"/>
    <w:rsid w:val="00E24BCE"/>
    <w:rsid w:val="00E35D90"/>
    <w:rsid w:val="00E36709"/>
    <w:rsid w:val="00E36EA7"/>
    <w:rsid w:val="00E472F2"/>
    <w:rsid w:val="00E51905"/>
    <w:rsid w:val="00E52CDA"/>
    <w:rsid w:val="00E54709"/>
    <w:rsid w:val="00E63A58"/>
    <w:rsid w:val="00E72437"/>
    <w:rsid w:val="00E8442D"/>
    <w:rsid w:val="00E92FF1"/>
    <w:rsid w:val="00E951D9"/>
    <w:rsid w:val="00E9577D"/>
    <w:rsid w:val="00EB0A50"/>
    <w:rsid w:val="00EB3472"/>
    <w:rsid w:val="00EC7D6A"/>
    <w:rsid w:val="00ED4C0A"/>
    <w:rsid w:val="00EE781B"/>
    <w:rsid w:val="00EE7BE9"/>
    <w:rsid w:val="00EF2B82"/>
    <w:rsid w:val="00EF40CD"/>
    <w:rsid w:val="00EF771B"/>
    <w:rsid w:val="00F003F5"/>
    <w:rsid w:val="00F100B3"/>
    <w:rsid w:val="00F121FF"/>
    <w:rsid w:val="00F14F19"/>
    <w:rsid w:val="00F15404"/>
    <w:rsid w:val="00F219F0"/>
    <w:rsid w:val="00F22820"/>
    <w:rsid w:val="00F27C9D"/>
    <w:rsid w:val="00F31BBC"/>
    <w:rsid w:val="00F36414"/>
    <w:rsid w:val="00F41010"/>
    <w:rsid w:val="00F44D9E"/>
    <w:rsid w:val="00F44E88"/>
    <w:rsid w:val="00F54A5E"/>
    <w:rsid w:val="00F55234"/>
    <w:rsid w:val="00F55AB2"/>
    <w:rsid w:val="00F65AE1"/>
    <w:rsid w:val="00F73F3D"/>
    <w:rsid w:val="00F76F2F"/>
    <w:rsid w:val="00F82BE2"/>
    <w:rsid w:val="00F83D3C"/>
    <w:rsid w:val="00F955D3"/>
    <w:rsid w:val="00FA3483"/>
    <w:rsid w:val="00FB4E3C"/>
    <w:rsid w:val="00FB58C1"/>
    <w:rsid w:val="00FC5858"/>
    <w:rsid w:val="00FD5D3B"/>
    <w:rsid w:val="00FE22E8"/>
    <w:rsid w:val="00FE6AE1"/>
    <w:rsid w:val="00FF09D6"/>
    <w:rsid w:val="00FF0D21"/>
    <w:rsid w:val="00FF2C0E"/>
    <w:rsid w:val="00FF2C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8D78F"/>
  <w14:defaultImageDpi w14:val="32767"/>
  <w15:chartTrackingRefBased/>
  <w15:docId w15:val="{229D371D-E459-0745-AEC7-3475673E6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7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37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7C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95379"/>
    <w:pPr>
      <w:ind w:left="720"/>
      <w:contextualSpacing/>
    </w:pPr>
  </w:style>
  <w:style w:type="character" w:styleId="Hyperlink">
    <w:name w:val="Hyperlink"/>
    <w:basedOn w:val="DefaultParagraphFont"/>
    <w:uiPriority w:val="99"/>
    <w:unhideWhenUsed/>
    <w:rsid w:val="00795379"/>
    <w:rPr>
      <w:color w:val="0563C1" w:themeColor="hyperlink"/>
      <w:u w:val="single"/>
    </w:rPr>
  </w:style>
  <w:style w:type="character" w:customStyle="1" w:styleId="Heading2Char">
    <w:name w:val="Heading 2 Char"/>
    <w:basedOn w:val="DefaultParagraphFont"/>
    <w:link w:val="Heading2"/>
    <w:uiPriority w:val="9"/>
    <w:rsid w:val="00795379"/>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rsid w:val="0003286F"/>
    <w:rPr>
      <w:color w:val="605E5C"/>
      <w:shd w:val="clear" w:color="auto" w:fill="E1DFDD"/>
    </w:rPr>
  </w:style>
  <w:style w:type="character" w:styleId="FollowedHyperlink">
    <w:name w:val="FollowedHyperlink"/>
    <w:basedOn w:val="DefaultParagraphFont"/>
    <w:uiPriority w:val="99"/>
    <w:semiHidden/>
    <w:unhideWhenUsed/>
    <w:rsid w:val="0003286F"/>
    <w:rPr>
      <w:color w:val="954F72" w:themeColor="followedHyperlink"/>
      <w:u w:val="single"/>
    </w:rPr>
  </w:style>
  <w:style w:type="paragraph" w:styleId="Title">
    <w:name w:val="Title"/>
    <w:basedOn w:val="Normal"/>
    <w:next w:val="Normal"/>
    <w:link w:val="TitleChar"/>
    <w:uiPriority w:val="10"/>
    <w:qFormat/>
    <w:rsid w:val="000328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86F"/>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519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51905"/>
    <w:rPr>
      <w:rFonts w:ascii="Times New Roman" w:hAnsi="Times New Roman" w:cs="Times New Roman"/>
      <w:sz w:val="18"/>
      <w:szCs w:val="18"/>
    </w:rPr>
  </w:style>
  <w:style w:type="paragraph" w:styleId="Caption">
    <w:name w:val="caption"/>
    <w:basedOn w:val="Normal"/>
    <w:next w:val="Normal"/>
    <w:uiPriority w:val="35"/>
    <w:unhideWhenUsed/>
    <w:qFormat/>
    <w:rsid w:val="00E51905"/>
    <w:pPr>
      <w:spacing w:after="200"/>
    </w:pPr>
    <w:rPr>
      <w:i/>
      <w:iCs/>
      <w:color w:val="44546A" w:themeColor="text2"/>
      <w:sz w:val="18"/>
      <w:szCs w:val="18"/>
    </w:rPr>
  </w:style>
  <w:style w:type="paragraph" w:styleId="Header">
    <w:name w:val="header"/>
    <w:basedOn w:val="Normal"/>
    <w:link w:val="HeaderChar"/>
    <w:uiPriority w:val="99"/>
    <w:unhideWhenUsed/>
    <w:rsid w:val="004739F5"/>
    <w:pPr>
      <w:tabs>
        <w:tab w:val="center" w:pos="4680"/>
        <w:tab w:val="right" w:pos="9360"/>
      </w:tabs>
    </w:pPr>
  </w:style>
  <w:style w:type="character" w:customStyle="1" w:styleId="HeaderChar">
    <w:name w:val="Header Char"/>
    <w:basedOn w:val="DefaultParagraphFont"/>
    <w:link w:val="Header"/>
    <w:uiPriority w:val="99"/>
    <w:rsid w:val="004739F5"/>
  </w:style>
  <w:style w:type="character" w:styleId="PageNumber">
    <w:name w:val="page number"/>
    <w:basedOn w:val="DefaultParagraphFont"/>
    <w:uiPriority w:val="99"/>
    <w:semiHidden/>
    <w:unhideWhenUsed/>
    <w:rsid w:val="004739F5"/>
  </w:style>
  <w:style w:type="character" w:styleId="CommentReference">
    <w:name w:val="annotation reference"/>
    <w:basedOn w:val="DefaultParagraphFont"/>
    <w:uiPriority w:val="99"/>
    <w:semiHidden/>
    <w:unhideWhenUsed/>
    <w:rsid w:val="00FA3483"/>
    <w:rPr>
      <w:sz w:val="16"/>
      <w:szCs w:val="16"/>
    </w:rPr>
  </w:style>
  <w:style w:type="paragraph" w:styleId="CommentText">
    <w:name w:val="annotation text"/>
    <w:basedOn w:val="Normal"/>
    <w:link w:val="CommentTextChar"/>
    <w:uiPriority w:val="99"/>
    <w:semiHidden/>
    <w:unhideWhenUsed/>
    <w:rsid w:val="00FA3483"/>
    <w:rPr>
      <w:sz w:val="20"/>
      <w:szCs w:val="20"/>
    </w:rPr>
  </w:style>
  <w:style w:type="character" w:customStyle="1" w:styleId="CommentTextChar">
    <w:name w:val="Comment Text Char"/>
    <w:basedOn w:val="DefaultParagraphFont"/>
    <w:link w:val="CommentText"/>
    <w:uiPriority w:val="99"/>
    <w:semiHidden/>
    <w:rsid w:val="00FA3483"/>
    <w:rPr>
      <w:sz w:val="20"/>
      <w:szCs w:val="20"/>
    </w:rPr>
  </w:style>
  <w:style w:type="paragraph" w:styleId="CommentSubject">
    <w:name w:val="annotation subject"/>
    <w:basedOn w:val="CommentText"/>
    <w:next w:val="CommentText"/>
    <w:link w:val="CommentSubjectChar"/>
    <w:uiPriority w:val="99"/>
    <w:semiHidden/>
    <w:unhideWhenUsed/>
    <w:rsid w:val="00FA3483"/>
    <w:rPr>
      <w:b/>
      <w:bCs/>
    </w:rPr>
  </w:style>
  <w:style w:type="character" w:customStyle="1" w:styleId="CommentSubjectChar">
    <w:name w:val="Comment Subject Char"/>
    <w:basedOn w:val="CommentTextChar"/>
    <w:link w:val="CommentSubject"/>
    <w:uiPriority w:val="99"/>
    <w:semiHidden/>
    <w:rsid w:val="00FA3483"/>
    <w:rPr>
      <w:b/>
      <w:bCs/>
      <w:sz w:val="20"/>
      <w:szCs w:val="20"/>
    </w:rPr>
  </w:style>
  <w:style w:type="character" w:styleId="PlaceholderText">
    <w:name w:val="Placeholder Text"/>
    <w:basedOn w:val="DefaultParagraphFont"/>
    <w:uiPriority w:val="99"/>
    <w:semiHidden/>
    <w:rsid w:val="00421F97"/>
    <w:rPr>
      <w:color w:val="808080"/>
    </w:rPr>
  </w:style>
  <w:style w:type="paragraph" w:customStyle="1" w:styleId="EndNoteBibliographyTitle">
    <w:name w:val="EndNote Bibliography Title"/>
    <w:basedOn w:val="Normal"/>
    <w:link w:val="EndNoteBibliographyTitleChar"/>
    <w:rsid w:val="008C63C1"/>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8C63C1"/>
    <w:rPr>
      <w:rFonts w:ascii="Calibri" w:hAnsi="Calibri" w:cs="Calibri"/>
      <w:lang w:val="en-US"/>
    </w:rPr>
  </w:style>
  <w:style w:type="paragraph" w:customStyle="1" w:styleId="EndNoteBibliography">
    <w:name w:val="EndNote Bibliography"/>
    <w:basedOn w:val="Normal"/>
    <w:link w:val="EndNoteBibliographyChar"/>
    <w:rsid w:val="008C63C1"/>
    <w:rPr>
      <w:rFonts w:ascii="Calibri" w:hAnsi="Calibri" w:cs="Calibri"/>
      <w:lang w:val="en-US"/>
    </w:rPr>
  </w:style>
  <w:style w:type="character" w:customStyle="1" w:styleId="EndNoteBibliographyChar">
    <w:name w:val="EndNote Bibliography Char"/>
    <w:basedOn w:val="DefaultParagraphFont"/>
    <w:link w:val="EndNoteBibliography"/>
    <w:rsid w:val="008C63C1"/>
    <w:rPr>
      <w:rFonts w:ascii="Calibri" w:hAnsi="Calibri" w:cs="Calibri"/>
      <w:lang w:val="en-US"/>
    </w:rPr>
  </w:style>
  <w:style w:type="table" w:styleId="TableGrid">
    <w:name w:val="Table Grid"/>
    <w:basedOn w:val="TableNormal"/>
    <w:uiPriority w:val="39"/>
    <w:rsid w:val="002E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80CE3"/>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279569">
      <w:bodyDiv w:val="1"/>
      <w:marLeft w:val="0"/>
      <w:marRight w:val="0"/>
      <w:marTop w:val="0"/>
      <w:marBottom w:val="0"/>
      <w:divBdr>
        <w:top w:val="none" w:sz="0" w:space="0" w:color="auto"/>
        <w:left w:val="none" w:sz="0" w:space="0" w:color="auto"/>
        <w:bottom w:val="none" w:sz="0" w:space="0" w:color="auto"/>
        <w:right w:val="none" w:sz="0" w:space="0" w:color="auto"/>
      </w:divBdr>
    </w:div>
    <w:div w:id="2079087249">
      <w:bodyDiv w:val="1"/>
      <w:marLeft w:val="0"/>
      <w:marRight w:val="0"/>
      <w:marTop w:val="0"/>
      <w:marBottom w:val="0"/>
      <w:divBdr>
        <w:top w:val="none" w:sz="0" w:space="0" w:color="auto"/>
        <w:left w:val="none" w:sz="0" w:space="0" w:color="auto"/>
        <w:bottom w:val="none" w:sz="0" w:space="0" w:color="auto"/>
        <w:right w:val="none" w:sz="0" w:space="0" w:color="auto"/>
      </w:divBdr>
    </w:div>
    <w:div w:id="212437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8299B-E993-EC44-8158-90DBC5566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2818</TotalTime>
  <Pages>14</Pages>
  <Words>5285</Words>
  <Characters>30125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Thein Than Tun</dc:creator>
  <cp:keywords/>
  <dc:description/>
  <cp:lastModifiedBy>Sai Tun</cp:lastModifiedBy>
  <cp:revision>128</cp:revision>
  <cp:lastPrinted>2019-06-12T06:34:00Z</cp:lastPrinted>
  <dcterms:created xsi:type="dcterms:W3CDTF">2019-03-24T02:01:00Z</dcterms:created>
  <dcterms:modified xsi:type="dcterms:W3CDTF">2019-08-21T03:20:00Z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id="IPTyJHEi"/&gt;&lt;style id="http://www.zotero.org/styles/vancouver" locale="en-US" hasBibliography="1" bibliographyStyleHasBeenSet="1"/&gt;&lt;prefs&gt;&lt;pref name="fieldType" value="Field"/&gt;&lt;/prefs&gt;&lt;/data&gt;</vt:lpwstr>
  </property>
</Properties>
</file>