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Exit Strategy Agent - Long-Term Value Realization and Cap Table Modeling</w:t>
      </w:r>
    </w:p>
    <w:p>
      <w:pPr>
        <w:pStyle w:val="Heading2"/>
      </w:pPr>
      <w:r>
        <w:t>What This Agent Does</w:t>
      </w:r>
    </w:p>
    <w:p>
      <w:r>
        <w:t>The Exit Strategy Agent (Section 14) is the long-term value realization planner in the pipeline. After the full business plan is complete, this agent designs the exit strategy: potential acquirers, exit timeline, valuation modeling, cap table and dilution, investor return projections, and exit risk assessment. This agent answers: How does this business eventually return capital to founders and investors? Who would acquire this business and why? What is the business worth at exit? What ownership do founders retain after fundraising? What returns do investors get? What could prevent a successful exit? The agent produces detailed exit analysis including primary and secondary exit paths, target acquirer profiles, exit timeline (typically Year 5-7 for VC-backed, Year 3-10 for bootstrapped), valuation modeling at exit (based on revenue multiples, comparables, or strategic value), cap table with funding rounds and dilution, investor return calculations (ROI, IRR, cash-on-cash multiples), and exit risk assessment.</w:t>
      </w:r>
    </w:p>
    <w:p>
      <w:pPr>
        <w:pStyle w:val="Heading2"/>
      </w:pPr>
      <w:r>
        <w:t>Why We Built This Agent</w:t>
      </w:r>
    </w:p>
    <w:p>
      <w:r>
        <w:t>We built it because exit strategy affects every earlier decision (who to raise funding from, what growth rate to target, which market to focus on). Founders building for acquisition think differently than founders building for IPO or building to hold forever. Exit Strategy Agent forces the CEO to define the long-term vision before starting, which clarifies strategic priorities. It also sets realistic expectations for investors. If the business can realistically exit at $50M valuation in Year 6, seed investors putting in $500K at $5M valuation will see 10x return. If founders promise $500M exit but realistic exit is $50M, that misalignment kills fundraising and causes founder-investor conflict later.</w:t>
      </w:r>
    </w:p>
    <w:p>
      <w:pPr>
        <w:pStyle w:val="Heading2"/>
      </w:pPr>
      <w:r>
        <w:t>Key Features</w:t>
      </w:r>
    </w:p>
    <w:p>
      <w:r>
        <w:t>First, identifies potential strategic acquirers (companies in adjacent markets, platform players, competitors, private equity firms). Second, models exit valuation using multiple methods (revenue multiples from comparable M&amp;A deals, strategic value assessment, DCF for mature businesses). Third, constructs cap table showing ownership after seed, Series A, Series B rounds with realistic dilution. Fourth, calculates investor returns (seed investors: X% ownership, exit value $Y, cash returned $Z, multiple M). Fifth, assesses exit risks (market may not have acquirers, business may not scale to attractive size, founders may not want to sell, acquirer M&amp;A trends may shift). Sixth, designs exit preparation strategy (what to build, what metrics to optimize to be attractive to acquirers). Seventh, models alternative exit paths (acquisition, IPO, secondary sale, hold forever and dividend). Eighth, confidence-calibrates exit projections (exit valuation has massive uncertainty, agent flags that explicitly).</w:t>
      </w:r>
    </w:p>
    <w:p>
      <w:pPr>
        <w:pStyle w:val="Heading2"/>
      </w:pPr>
      <w:r>
        <w:t>How It Works Technically</w:t>
      </w:r>
    </w:p>
    <w:p>
      <w:r>
        <w:t>Claude Sonnet-powered (requires strategic reasoning about M&amp;A markets and valuation). Runs last in pipeline after Section 12 (Financial: needs Year 3 revenue projections for valuation modeling). Input includes financial projections, market landscape, competitive positioning, and founder goals. Uses M&amp;A and valuation frameworks (comparable transaction analysis, revenue multiple bands by sector and stage, strategic acquirer identification). Output schema includes exit_strategy (primary path, target acquirers, timeline), cap_table (ownership by round), funding_strategy (how much to raise when), investor_returns (by round), dilution_analysis, exit_valuation_model, exit_risks, confidence score. Writes to agent_outputs with section_number='14'.</w:t>
      </w:r>
    </w:p>
    <w:p>
      <w:pPr>
        <w:pStyle w:val="Heading2"/>
      </w:pPr>
      <w:r>
        <w:t>How It Connects to Other Agents</w:t>
      </w:r>
    </w:p>
    <w:p>
      <w:r>
        <w:t>Depends on Section 12 (Financial: exit valuation based on Year 3-5 revenue projections), Section 1 (competitive landscape: who are potential acquirers), Section 8 (market positioning: what strategic value does this business have). Exit output feeds into executive summary (long-term vision section). Used by CEO for fundraising conversations (investor pitch includes exit strategy and expected returns). Devil's Advocate challenges exit assumptions (e.g. assuming strategic acquirer will pay 10x revenue when comparable deals are 4-6x revenue).</w:t>
      </w:r>
    </w:p>
    <w:p>
      <w:pPr>
        <w:pStyle w:val="Heading2"/>
      </w:pPr>
      <w:r>
        <w:t>Why This Matters (Real-World Impact)</w:t>
      </w:r>
    </w:p>
    <w:p>
      <w:r>
        <w:t>Exit strategy planning prevents building businesses that cannot exit. Some businesses have no natural acquirers (too niche, wrong market, wrong business model). Exit Agent identifies that early. It also aligns founder and investor incentives. If founders want to build slowly and bootstrap, but raise VC funding which requires high-growth exit in 5-7 years, that misalignment causes problems. Exit Agent surfaces the tension early. Exit valuation modeling also sets realistic expectations. Many founders assume their Year 5 business will be worth $100M+ because that is what tech press writes about. Exit Agent shows realistic comps: B2B SaaS in education sector with $5M ARR typically exits at $20-40M (4-8x revenue multiple), not $100M. Realistic exit expectations prevent over-dilution (raising too much money at too high valuation, then struggling to deliver returns investors expect).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