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Financial Modelling Agent - Economic Viability and Projections</w:t>
      </w:r>
    </w:p>
    <w:p>
      <w:pPr>
        <w:pStyle w:val="Heading2"/>
      </w:pPr>
      <w:r>
        <w:t>What This Agent Does</w:t>
      </w:r>
    </w:p>
    <w:p>
      <w:r>
        <w:t>The Financial Modelling Agent (Section 12) is the economic viability assessor in the pipeline. After all business requirements, market research, team planning, tech costs, and customer acquisition strategy are defined, the Financial Agent builds the complete financial model: three-statement model (P&amp;L, balance sheet, cash flow), break-even analysis, unit economics, valuation, sensitivity analysis, and financial risk assessment. This agent answers: Will this business make money? When? How much? What are the key financial drivers? What assumptions, if wrong, would kill the business financially? The agent produces detailed financial projections (Month 1-12 granular, Year 2-3 annual), unit economics breakdowns (CAC payback, LTV:CAC ratios, gross margins), break-even analysis (when does the business become cash-flow positive), valuation models (DCF if high confidence, comps-based if low confidence), scenario analysis (optimistic/baseline/pessimistic with different assumption sets), and financial risk assessment with specific kill conditions.</w:t>
      </w:r>
    </w:p>
    <w:p>
      <w:pPr>
        <w:pStyle w:val="Heading2"/>
      </w:pPr>
      <w:r>
        <w:t>Why We Built This Agent</w:t>
      </w:r>
    </w:p>
    <w:p>
      <w:r>
        <w:t>We built it because financial viability is non-obvious. A business can have great product-market fit but terrible unit economics. The Financial Agent forces rigorous modeling before the CEO commits capital. It prevents launching businesses that cannot reach profitability, identifies the financial assumptions that matter most, and shows what needs to be true financially for the business to work. Many startups fail because founders did not model cash runway, burn rate, or break-even before launching. The Financial Agent prevents that.</w:t>
      </w:r>
    </w:p>
    <w:p>
      <w:pPr>
        <w:pStyle w:val="Heading2"/>
      </w:pPr>
      <w:r>
        <w:t>Key Features</w:t>
      </w:r>
    </w:p>
    <w:p>
      <w:r>
        <w:t>First, builds three-statement model (P&amp;L, balance sheet, cash flow) with monthly granularity Year 1, annual for Years 2-3. Second, calculates unit economics (CAC payback period, LTV:CAC ratio, gross margin per customer). Third, performs break-even analysis (baseline/optimistic/pessimistic scenarios). Fourth, models cash runway and funding requirements. Fifth, performs sensitivity analysis (what if CAC is 2x, what if churn is 50% higher, what if pricing is 30% lower). Sixth, identifies financial kill conditions (if assumption X is wrong, business is not viable). Seventh, integrates all cost inputs from prior sections (headcount from Section 4, tech costs from Section 6.5, marketing budget from Section 8, operational costs from Section 10). Eighth, produces confidence-calibrated financial projections with explicit assumption logging.</w:t>
      </w:r>
    </w:p>
    <w:p>
      <w:pPr>
        <w:pStyle w:val="Heading2"/>
      </w:pPr>
      <w:r>
        <w:t>How It Works Technically</w:t>
      </w:r>
    </w:p>
    <w:p>
      <w:r>
        <w:t>Claude Sonnet-powered (requires complex numerical reasoning). Runs late pipeline after all cost and revenue inputs available. Input schema includes all prior section outputs plus CEO financial constraints. Uses structured financial modeling templates (revenue = customers * pricing, costs = fixed + variable, cash = revenue - costs + funding). Output schema is extensive Pydantic model with P&amp;L (monthly Year 1, annual Years 2-3), balance sheet, cash flow, unit economics, break-even analysis, valuation, sensitivity analysis, assumptions log, uncertainties, confidence score. Writes to agent_outputs with section_number='12'. Feeds into Summary Agent and Exit Strategy Agent.</w:t>
      </w:r>
    </w:p>
    <w:p>
      <w:pPr>
        <w:pStyle w:val="Heading2"/>
      </w:pPr>
      <w:r>
        <w:t>How It Connects to Other Agents</w:t>
      </w:r>
    </w:p>
    <w:p>
      <w:r>
        <w:t>Depends on almost all prior agents: Section 4 (headcount costs), Section 6.5 (tech costs), Section 8 (customer projections, CAC, LTV, marketing budget), Section 10 (operational costs). Financial output feeds into Section 13 (Launch: is there enough runway?), Section 14 (Exit Strategy: what is valuation at exit?), and executive summary. Devil's Advocate aggressively challenges financial assumptions, especially unvalidated CAC, pricing, and churn rate assumptions. Financial Agent is the integration point where all costs and revenues converge into one model.</w:t>
      </w:r>
    </w:p>
    <w:p>
      <w:pPr>
        <w:pStyle w:val="Heading2"/>
      </w:pPr>
      <w:r>
        <w:t>Why This Matters (Real-World Impact)</w:t>
      </w:r>
    </w:p>
    <w:p>
      <w:r>
        <w:t>Financial modeling prevents launching unviable businesses. If break-even requires 500 customers but realistic customer acquisition can only reach 100 customers Year 1, the business will run out of money. Financial Agent surfaces that early. It also shows cash runway: if the business burns $15K/month and has $100K seed funding, runway is 6-7 months, which means the CEO needs to raise Series A by Month 4-5, not wait until Month 10 when cash is gone. Financial projections are also what investors review most carefully. A plan with detailed financial model, realistic assumptions, and sensitivity analysis is credible. A plan with no financial model or fantasy projections is not fundable. Financial Agent makes the business case rigorous.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