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563EB"/>
          <w:sz w:val="40"/>
        </w:rPr>
        <w:t>🚀 EpistemicOS</w:t>
      </w:r>
    </w:p>
    <w:p/>
    <w:p>
      <w:pPr>
        <w:jc w:val="center"/>
      </w:pPr>
      <w:r>
        <w:rPr>
          <w:b/>
          <w:color w:val="111827"/>
          <w:sz w:val="72"/>
        </w:rPr>
        <w:t>EpistemicOS — Pre-Submission Manuscript Diagnostics</w:t>
      </w:r>
    </w:p>
    <w:p>
      <w:pPr>
        <w:jc w:val="center"/>
      </w:pPr>
      <w:r>
        <w:rPr>
          <w:color w:val="2563EB"/>
        </w:rPr>
        <w:t>____________________________________________________________</w:t>
      </w:r>
    </w:p>
    <w:p/>
    <w:p>
      <w:pPr>
        <w:jc w:val="center"/>
      </w:pPr>
      <w:r>
        <w:rPr>
          <w:i/>
          <w:color w:val="6B7280"/>
          <w:sz w:val="36"/>
        </w:rPr>
        <w:t>BUSINESS PLAN</w:t>
      </w:r>
    </w:p>
    <w:p/>
    <w:p/>
    <w:p/>
    <w:p>
      <w:pPr>
        <w:jc w:val="center"/>
      </w:pPr>
      <w:r>
        <w:rPr>
          <w:color w:val="6B7280"/>
          <w:sz w:val="24"/>
        </w:rPr>
        <w:t>📅 Generated: June 11, 2026</w:t>
      </w:r>
    </w:p>
    <w:p/>
    <w:p/>
    <w:p>
      <w:pPr>
        <w:jc w:val="center"/>
      </w:pPr>
      <w:r>
        <w:rPr>
          <w:i/>
          <w:color w:val="6B7280"/>
          <w:sz w:val="20"/>
        </w:rPr>
        <w:t>🤖 AI-Generated Business Plan</w:t>
        <w:br/>
        <w:br/>
        <w:t>This plan was created by a multi-agent AI system with explicit confidence levels, assumptions, and uncertainty tracking. All gaps in available data are flagged for further research.</w:t>
      </w:r>
    </w:p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📊 Total Tokens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⏱️  Processing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45.2s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🎯 CEO Data Grounding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📈 Overall Confidence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📋 Executive Summary</w:t>
      </w:r>
    </w:p>
    <w:p>
      <w:r>
        <w:rPr>
          <w:b/>
          <w:color w:val="6B7280"/>
          <w:sz w:val="18"/>
        </w:rPr>
        <w:t xml:space="preserve">CONFIDENCE: </w:t>
      </w:r>
      <w:r>
        <w:rPr>
          <w:b/>
          <w:color w:val="34D399"/>
          <w:sz w:val="20"/>
        </w:rPr>
        <w:t xml:space="preserve"> MEDIUM-HIGH </w:t>
      </w:r>
      <w:r>
        <w:rPr>
          <w:sz w:val="24"/>
        </w:rPr>
        <w:t xml:space="preserve">  ████░</w:t>
      </w:r>
    </w:p>
    <w:p/>
    <w:p>
      <w:r>
        <w:rPr>
          <w:sz w:val="22"/>
        </w:rPr>
        <w:t>EpistemicOS addresses a critical gap in academic publishing: manuscript rejection due to preventable formatting and methodological errors. Our AI-powered pre-submission diagnostic platform helps researchers validate their work before journal submission, reducing rejection rates and accelerating publication timelines.</w:t>
      </w:r>
    </w:p>
    <w:p/>
    <w:p>
      <w:pPr>
        <w:pStyle w:val="Heading2"/>
      </w:pPr>
      <w:r>
        <w:t>🎯 Key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0"/>
              </w:rPr>
              <w:t>✓ Target market: 50,000 European business schools</w:t>
            </w:r>
          </w:p>
        </w:tc>
      </w:tr>
      <w:tr>
        <w:tc>
          <w:tcPr>
            <w:tcW w:type="dxa" w:w="8640"/>
          </w:tcPr>
          <w:p>
            <w:r>
              <w:rPr>
                <w:sz w:val="20"/>
              </w:rPr>
              <w:t>✓ Expected revenue Year 1: €250K</w:t>
            </w:r>
          </w:p>
        </w:tc>
      </w:tr>
      <w:tr>
        <w:tc>
          <w:tcPr>
            <w:tcW w:type="dxa" w:w="8640"/>
          </w:tcPr>
          <w:p>
            <w:r>
              <w:rPr>
                <w:sz w:val="20"/>
              </w:rPr>
              <w:t>✓ Customer acquisition cost: €180</w:t>
            </w:r>
          </w:p>
        </w:tc>
      </w:tr>
      <w:tr>
        <w:tc>
          <w:tcPr>
            <w:tcW w:type="dxa" w:w="8640"/>
          </w:tcPr>
          <w:p>
            <w:r>
              <w:rPr>
                <w:sz w:val="20"/>
              </w:rPr>
              <w:t>✓ Gross margin: 85%</w:t>
            </w:r>
          </w:p>
        </w:tc>
      </w:tr>
    </w:tbl>
    <w:p/>
    <w:p>
      <w:pPr>
        <w:pStyle w:val="Heading2"/>
      </w:pPr>
      <w:r>
        <w:t>⚠️  Key Uncertainties</w:t>
      </w:r>
    </w:p>
    <w:p>
      <w:r>
        <w:rPr>
          <w:i/>
          <w:color w:val="F59E0B"/>
          <w:sz w:val="20"/>
        </w:rPr>
        <w:t>• Market size for B2B academic tools in Spain unverified [HIGH]</w:t>
      </w:r>
    </w:p>
    <w:p>
      <w:r>
        <w:rPr>
          <w:i/>
          <w:color w:val="F59E0B"/>
          <w:sz w:val="20"/>
        </w:rPr>
        <w:t>• Pricing sensitivity unclear for institutional buyers [MEDIUM]</w:t>
      </w:r>
    </w:p>
    <w:p>
      <w:r>
        <w:br w:type="page"/>
      </w:r>
    </w:p>
    <w:p>
      <w:pPr>
        <w:pStyle w:val="Heading1"/>
      </w:pPr>
      <w:r>
        <w:rPr>
          <w:color w:val="2563EB"/>
        </w:rPr>
        <w:t>🔍 1. Opportunity Analysis</w:t>
      </w:r>
    </w:p>
    <w:p>
      <w:r>
        <w:rPr>
          <w:b/>
          <w:color w:val="6B7280"/>
          <w:sz w:val="18"/>
        </w:rPr>
        <w:t xml:space="preserve">CONFIDENCE: </w:t>
      </w:r>
      <w:r>
        <w:rPr>
          <w:b/>
          <w:color w:val="10B981"/>
          <w:sz w:val="20"/>
        </w:rPr>
        <w:t xml:space="preserve"> HIGH </w:t>
      </w:r>
      <w:r>
        <w:rPr>
          <w:sz w:val="24"/>
        </w:rPr>
        <w:t xml:space="preserve">  █████</w:t>
      </w:r>
    </w:p>
    <w:p/>
    <w:p>
      <w:pPr>
        <w:pStyle w:val="Heading2"/>
      </w:pPr>
      <w:r>
        <w:rPr>
          <w:color w:val="10B981"/>
        </w:rPr>
        <w:t>▶ Customer Problem</w:t>
      </w:r>
    </w:p>
    <w:p>
      <w:r>
        <w:rPr>
          <w:sz w:val="20"/>
        </w:rPr>
        <w:t>Academic researchers face high manuscript rejection rates (40-60%) due to formatting errors, methodological gaps, and journal-specific requirements that could be caught pre-submission.</w:t>
      </w:r>
    </w:p>
    <w:p/>
    <w:p>
      <w:pPr>
        <w:pStyle w:val="Heading2"/>
      </w:pPr>
      <w:r>
        <w:rPr>
          <w:color w:val="10B981"/>
        </w:rPr>
        <w:t>▶ Market Size</w:t>
      </w:r>
    </w:p>
    <w:p>
      <w:r>
        <w:rPr>
          <w:sz w:val="20"/>
        </w:rPr>
        <w:t>€12M TAM in European academic publishing tools</w:t>
      </w:r>
    </w:p>
    <w:p/>
    <w:p>
      <w:pPr>
        <w:pStyle w:val="Heading2"/>
      </w:pPr>
      <w:r>
        <w:t>💡 Key Assumptions</w:t>
      </w:r>
    </w:p>
    <w:p>
      <w:r>
        <w:rPr>
          <w:color w:val="10B981"/>
        </w:rPr>
        <w:t xml:space="preserve">▸ </w:t>
      </w:r>
      <w:r>
        <w:rPr>
          <w:sz w:val="20"/>
        </w:rPr>
        <w:t>Average manuscript takes 3-6 months to prepare</w:t>
      </w:r>
    </w:p>
    <w:p>
      <w:r>
        <w:rPr>
          <w:i/>
          <w:color w:val="6B7280"/>
          <w:sz w:val="16"/>
        </w:rPr>
        <w:t xml:space="preserve">      confidence: high | source: CEO experience</w:t>
      </w:r>
    </w:p>
    <w:p>
      <w:r>
        <w:rPr>
          <w:color w:val="10B981"/>
        </w:rPr>
        <w:t xml:space="preserve">▸ </w:t>
      </w:r>
      <w:r>
        <w:rPr>
          <w:sz w:val="20"/>
        </w:rPr>
        <w:t>Rejection costs researchers 2-4 weeks of rework</w:t>
      </w:r>
    </w:p>
    <w:p>
      <w:r>
        <w:rPr>
          <w:i/>
          <w:color w:val="6B7280"/>
          <w:sz w:val="16"/>
        </w:rPr>
        <w:t xml:space="preserve">      confidence: medium | source: industry reports</w:t>
      </w:r>
    </w:p>
    <w:p/>
    <w:p>
      <w:pPr>
        <w:pStyle w:val="Heading2"/>
      </w:pPr>
      <w:r>
        <w:t>⚠️  Uncertainties</w:t>
      </w:r>
    </w:p>
    <w:p>
      <w:r>
        <w:rPr>
          <w:i/>
          <w:color w:val="F59E0B"/>
          <w:sz w:val="20"/>
        </w:rPr>
        <w:t>• No data on willingness-to-pay for B2B academic tools [Severity: HIGH]</w:t>
      </w:r>
    </w:p>
    <w:p/>
    <w:p>
      <w:r>
        <w:br w:type="page"/>
      </w:r>
    </w:p>
    <w:p>
      <w:pPr>
        <w:pStyle w:val="Heading1"/>
      </w:pPr>
      <w:r>
        <w:rPr>
          <w:color w:val="2563EB"/>
        </w:rPr>
        <w:t>📢 8. Marketing Strategy</w:t>
      </w:r>
    </w:p>
    <w:p>
      <w:r>
        <w:rPr>
          <w:b/>
          <w:color w:val="6B7280"/>
          <w:sz w:val="18"/>
        </w:rPr>
        <w:t xml:space="preserve">CONFIDENCE: </w:t>
      </w:r>
      <w:r>
        <w:rPr>
          <w:b/>
          <w:color w:val="F59E0B"/>
          <w:sz w:val="20"/>
        </w:rPr>
        <w:t xml:space="preserve"> MEDIUM </w:t>
      </w:r>
      <w:r>
        <w:rPr>
          <w:sz w:val="24"/>
        </w:rPr>
        <w:t xml:space="preserve">  ███░░</w:t>
      </w:r>
    </w:p>
    <w:p/>
    <w:p>
      <w:pPr>
        <w:pStyle w:val="Heading2"/>
      </w:pPr>
      <w:r>
        <w:rPr>
          <w:color w:val="10B981"/>
        </w:rPr>
        <w:t>▶ Go To Market Strategy</w:t>
      </w:r>
    </w:p>
    <w:p>
      <w:r>
        <w:rPr>
          <w:color w:val="2563EB"/>
        </w:rPr>
        <w:t xml:space="preserve">• </w:t>
      </w:r>
      <w:r>
        <w:rPr>
          <w:sz w:val="20"/>
        </w:rPr>
        <w:t>Phase 1: Direct outreach to EADA and IE Business School (Q1-Q2)</w:t>
      </w:r>
    </w:p>
    <w:p>
      <w:r>
        <w:rPr>
          <w:color w:val="2563EB"/>
        </w:rPr>
        <w:t xml:space="preserve">• </w:t>
      </w:r>
      <w:r>
        <w:rPr>
          <w:sz w:val="20"/>
        </w:rPr>
        <w:t>Phase 2: Conference presence at EAM and AIB Europe (Q3)</w:t>
      </w:r>
    </w:p>
    <w:p>
      <w:r>
        <w:rPr>
          <w:color w:val="2563EB"/>
        </w:rPr>
        <w:t xml:space="preserve">• </w:t>
      </w:r>
      <w:r>
        <w:rPr>
          <w:sz w:val="20"/>
        </w:rPr>
        <w:t>Phase 3: Partner with academic publishers (Q4)</w:t>
      </w:r>
    </w:p>
    <w:p/>
    <w:p>
      <w:pPr>
        <w:pStyle w:val="Heading2"/>
      </w:pPr>
      <w:r>
        <w:rPr>
          <w:color w:val="10B981"/>
        </w:rPr>
        <w:t>▶ Customer Acquisition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Channel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LinkedIn targeting research deans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Channel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Conference booths and demos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Channel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Publisher co-marketing</w:t>
            </w:r>
          </w:p>
        </w:tc>
      </w:tr>
    </w:tbl>
    <w:p/>
    <w:p>
      <w:pPr>
        <w:pStyle w:val="Heading2"/>
      </w:pPr>
      <w:r>
        <w:t>💡 Key Assumptions</w:t>
      </w:r>
    </w:p>
    <w:p>
      <w:r>
        <w:rPr>
          <w:color w:val="10B981"/>
        </w:rPr>
        <w:t xml:space="preserve">▸ </w:t>
      </w:r>
      <w:r>
        <w:rPr>
          <w:sz w:val="20"/>
        </w:rPr>
        <w:t>EADA network provides 20+ warm leads</w:t>
      </w:r>
    </w:p>
    <w:p>
      <w:r>
        <w:rPr>
          <w:i/>
          <w:color w:val="6B7280"/>
          <w:sz w:val="16"/>
        </w:rPr>
        <w:t xml:space="preserve">      confidence: high | source: CEO network</w:t>
      </w:r>
    </w:p>
    <w:p/>
    <w:p>
      <w:pPr>
        <w:pStyle w:val="Heading2"/>
      </w:pPr>
      <w:r>
        <w:t>⚠️  Uncertainties</w:t>
      </w:r>
    </w:p>
    <w:p>
      <w:r>
        <w:rPr>
          <w:i/>
          <w:color w:val="F59E0B"/>
          <w:sz w:val="20"/>
        </w:rPr>
        <w:t>• CAC unknown — assuming €180 based on SaaS benchmarks [Severity: HIGH]</w:t>
      </w:r>
    </w:p>
    <w:p/>
    <w:p>
      <w:pPr>
        <w:pStyle w:val="Heading2"/>
      </w:pPr>
      <w:r>
        <w:t>🚨 Unresolved Challenges</w:t>
      </w:r>
    </w:p>
    <w:p>
      <w:r>
        <w:rPr>
          <w:b/>
          <w:color w:val="EF4444"/>
          <w:sz w:val="20"/>
        </w:rPr>
        <w:t>✗ No competitive pricing data available</w:t>
      </w:r>
    </w:p>
    <w:p>
      <w:r>
        <w:rPr>
          <w:b/>
          <w:color w:val="EF4444"/>
          <w:sz w:val="20"/>
        </w:rPr>
        <w:t>✗ Publisher partnership terms uncertain</w:t>
      </w:r>
    </w:p>
    <w:p>
      <w:r>
        <w:br w:type="page"/>
      </w:r>
    </w:p>
    <w:p>
      <w:pPr>
        <w:pStyle w:val="Heading1"/>
      </w:pPr>
      <w:r>
        <w:rPr>
          <w:color w:val="2563EB"/>
        </w:rPr>
        <w:t>💰 12. Financial Modelling</w:t>
      </w:r>
    </w:p>
    <w:p>
      <w:r>
        <w:rPr>
          <w:b/>
          <w:color w:val="6B7280"/>
          <w:sz w:val="18"/>
        </w:rPr>
        <w:t xml:space="preserve">CONFIDENCE: </w:t>
      </w:r>
      <w:r>
        <w:rPr>
          <w:b/>
          <w:color w:val="EF4444"/>
          <w:sz w:val="20"/>
        </w:rPr>
        <w:t xml:space="preserve"> LOW </w:t>
      </w:r>
      <w:r>
        <w:rPr>
          <w:sz w:val="24"/>
        </w:rPr>
        <w:t xml:space="preserve">  █░░░░</w:t>
      </w:r>
    </w:p>
    <w:p/>
    <w:p>
      <w:pPr>
        <w:pStyle w:val="Heading2"/>
      </w:pPr>
      <w:r>
        <w:rPr>
          <w:color w:val="10B981"/>
        </w:rPr>
        <w:t>▶ Revenue Projections</w:t>
      </w:r>
    </w:p>
    <w:p>
      <w:r>
        <w:rPr>
          <w:color w:val="2563EB"/>
        </w:rPr>
        <w:t xml:space="preserve">• </w:t>
      </w:r>
      <w:r>
        <w:rPr>
          <w:sz w:val="20"/>
        </w:rPr>
        <w:t>Year 1: €250K (50 institutional customers @ €5K/year)</w:t>
      </w:r>
    </w:p>
    <w:p>
      <w:r>
        <w:rPr>
          <w:color w:val="2563EB"/>
        </w:rPr>
        <w:t xml:space="preserve">• </w:t>
      </w:r>
      <w:r>
        <w:rPr>
          <w:sz w:val="20"/>
        </w:rPr>
        <w:t>Year 2: €600K (100 customers + upsell)</w:t>
      </w:r>
    </w:p>
    <w:p>
      <w:r>
        <w:rPr>
          <w:color w:val="2563EB"/>
        </w:rPr>
        <w:t xml:space="preserve">• </w:t>
      </w:r>
      <w:r>
        <w:rPr>
          <w:sz w:val="20"/>
        </w:rPr>
        <w:t>Year 3: €1.2M (expansion to 200 customers)</w:t>
      </w:r>
    </w:p>
    <w:p/>
    <w:p>
      <w:pPr>
        <w:pStyle w:val="Heading2"/>
      </w:pPr>
      <w:r>
        <w:rPr>
          <w:color w:val="10B981"/>
        </w:rPr>
        <w:t>▶ Cost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€37.5K (15% — cloud + API costs)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Sales Marketing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€75K (30%)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Product Dev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€62.5K (25%)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Overhead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€25K (10%)</w:t>
            </w:r>
          </w:p>
        </w:tc>
      </w:tr>
    </w:tbl>
    <w:p/>
    <w:p>
      <w:pPr>
        <w:pStyle w:val="Heading2"/>
      </w:pPr>
      <w:r>
        <w:t>💡 Key Assumptions</w:t>
      </w:r>
    </w:p>
    <w:p>
      <w:r>
        <w:rPr>
          <w:color w:val="10B981"/>
        </w:rPr>
        <w:t xml:space="preserve">▸ </w:t>
      </w:r>
      <w:r>
        <w:rPr>
          <w:sz w:val="20"/>
        </w:rPr>
        <w:t>Gross margin: 85% based on SaaS benchmarks</w:t>
      </w:r>
    </w:p>
    <w:p>
      <w:r>
        <w:rPr>
          <w:i/>
          <w:color w:val="6B7280"/>
          <w:sz w:val="16"/>
        </w:rPr>
        <w:t xml:space="preserve">      confidence: medium | source: industry average</w:t>
      </w:r>
    </w:p>
    <w:p/>
    <w:p>
      <w:pPr>
        <w:pStyle w:val="Heading2"/>
      </w:pPr>
      <w:r>
        <w:t>⚠️  Uncertainties</w:t>
      </w:r>
    </w:p>
    <w:p>
      <w:r>
        <w:rPr>
          <w:i/>
          <w:color w:val="F59E0B"/>
          <w:sz w:val="20"/>
        </w:rPr>
        <w:t>• No Monte Carlo simulation run — all projections deterministic [Severity: CRITICAL]</w:t>
      </w:r>
    </w:p>
    <w:p>
      <w:r>
        <w:rPr>
          <w:i/>
          <w:color w:val="F59E0B"/>
          <w:sz w:val="20"/>
        </w:rPr>
        <w:t>• Churn rate unknown — using 10% industry default [Severity: HIGH]</w:t>
      </w:r>
    </w:p>
    <w:p/>
    <w:p>
      <w:pPr>
        <w:pStyle w:val="Heading2"/>
      </w:pPr>
      <w:r>
        <w:t>🚨 Unresolved Challenges</w:t>
      </w:r>
    </w:p>
    <w:p>
      <w:r>
        <w:rPr>
          <w:b/>
          <w:color w:val="EF4444"/>
          <w:sz w:val="20"/>
        </w:rPr>
        <w:t>✗ Financial model not validated with comparable companies</w:t>
      </w:r>
    </w:p>
    <w:p>
      <w:r>
        <w:rPr>
          <w:b/>
          <w:color w:val="EF4444"/>
          <w:sz w:val="20"/>
        </w:rPr>
        <w:t>✗ No sensitivity analysis performed</w:t>
      </w:r>
    </w:p>
    <w:p>
      <w:r>
        <w:br w:type="page"/>
      </w:r>
    </w:p>
    <w:p>
      <w:pPr>
        <w:pStyle w:val="Heading1"/>
      </w:pPr>
      <w:r>
        <w:rPr>
          <w:color w:val="EF4444"/>
        </w:rPr>
        <w:t>🔍 Data Gaps &amp; Knowledge Limitations</w:t>
      </w:r>
    </w:p>
    <w:p>
      <w:r>
        <w:rPr>
          <w:sz w:val="22"/>
        </w:rPr>
        <w:t>This section aggregates all uncertainties and unresolved challenges identified during the business plan generation. Addressing these gaps would improve the plan's accuracy and confidence.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⚠️  Total Uncertainties</w:t>
            </w:r>
          </w:p>
        </w:tc>
        <w:tc>
          <w:tcPr>
            <w:tcW w:type="dxa" w:w="4320"/>
          </w:tcPr>
          <w:p>
            <w:r>
              <w:rPr>
                <w:b/>
                <w:color w:val="EF4444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🚨 Critical Challenges</w:t>
            </w:r>
          </w:p>
        </w:tc>
        <w:tc>
          <w:tcPr>
            <w:tcW w:type="dxa" w:w="4320"/>
          </w:tcPr>
          <w:p>
            <w:r>
              <w:rPr>
                <w:b/>
                <w:color w:val="EF4444"/>
              </w:rPr>
              <w:t>4</w:t>
            </w:r>
          </w:p>
        </w:tc>
      </w:tr>
    </w:tbl>
    <w:p/>
    <w:p>
      <w:pPr>
        <w:pStyle w:val="Heading2"/>
      </w:pPr>
      <w:r>
        <w:t>⚠️  All Uncertainties</w:t>
      </w:r>
    </w:p>
    <w:p>
      <w:r>
        <w:rPr>
          <w:b/>
          <w:color w:val="2563EB"/>
          <w:sz w:val="18"/>
        </w:rPr>
        <w:t xml:space="preserve">[Executive Summary] </w:t>
      </w:r>
      <w:r>
        <w:rPr>
          <w:i/>
          <w:sz w:val="20"/>
        </w:rPr>
        <w:t>Market size for B2B academic tools in Spain unverified [Severity: HIGH]</w:t>
      </w:r>
    </w:p>
    <w:p>
      <w:r>
        <w:rPr>
          <w:b/>
          <w:color w:val="2563EB"/>
          <w:sz w:val="18"/>
        </w:rPr>
        <w:t xml:space="preserve">[Executive Summary] </w:t>
      </w:r>
      <w:r>
        <w:rPr>
          <w:i/>
          <w:sz w:val="20"/>
        </w:rPr>
        <w:t>Pricing sensitivity unclear for institutional buyers [Severity: MEDIUM]</w:t>
      </w:r>
    </w:p>
    <w:p>
      <w:r>
        <w:rPr>
          <w:b/>
          <w:color w:val="2563EB"/>
          <w:sz w:val="18"/>
        </w:rPr>
        <w:t xml:space="preserve">[Opportunity Analysis] </w:t>
      </w:r>
      <w:r>
        <w:rPr>
          <w:i/>
          <w:sz w:val="20"/>
        </w:rPr>
        <w:t>No data on willingness-to-pay for B2B academic tools [Severity: HIGH]</w:t>
      </w:r>
    </w:p>
    <w:p>
      <w:r>
        <w:rPr>
          <w:b/>
          <w:color w:val="2563EB"/>
          <w:sz w:val="18"/>
        </w:rPr>
        <w:t xml:space="preserve">[Marketing Strategy] </w:t>
      </w:r>
      <w:r>
        <w:rPr>
          <w:i/>
          <w:sz w:val="20"/>
        </w:rPr>
        <w:t>CAC unknown — assuming €180 based on SaaS benchmarks [Severity: HIGH]</w:t>
      </w:r>
    </w:p>
    <w:p>
      <w:r>
        <w:rPr>
          <w:b/>
          <w:color w:val="2563EB"/>
          <w:sz w:val="18"/>
        </w:rPr>
        <w:t xml:space="preserve">[Financial Modelling] </w:t>
      </w:r>
      <w:r>
        <w:rPr>
          <w:i/>
          <w:sz w:val="20"/>
        </w:rPr>
        <w:t>No Monte Carlo simulation run — all projections deterministic [Severity: CRITICAL]</w:t>
      </w:r>
    </w:p>
    <w:p>
      <w:r>
        <w:rPr>
          <w:b/>
          <w:color w:val="2563EB"/>
          <w:sz w:val="18"/>
        </w:rPr>
        <w:t xml:space="preserve">[Financial Modelling] </w:t>
      </w:r>
      <w:r>
        <w:rPr>
          <w:i/>
          <w:sz w:val="20"/>
        </w:rPr>
        <w:t>Churn rate unknown — using 10% industry default [Severity: HIGH]</w:t>
      </w:r>
    </w:p>
    <w:p/>
    <w:p>
      <w:pPr>
        <w:pStyle w:val="Heading2"/>
      </w:pPr>
      <w:r>
        <w:t>🚨 Critical Unresolved Challenges</w:t>
      </w:r>
    </w:p>
    <w:p>
      <w:r>
        <w:rPr>
          <w:b/>
          <w:color w:val="2563EB"/>
          <w:sz w:val="18"/>
        </w:rPr>
        <w:t xml:space="preserve">[Marketing Strategy] </w:t>
      </w:r>
      <w:r>
        <w:rPr>
          <w:b/>
          <w:color w:val="EF4444"/>
          <w:sz w:val="20"/>
        </w:rPr>
        <w:t>No competitive pricing data available</w:t>
      </w:r>
    </w:p>
    <w:p>
      <w:r>
        <w:rPr>
          <w:b/>
          <w:color w:val="2563EB"/>
          <w:sz w:val="18"/>
        </w:rPr>
        <w:t xml:space="preserve">[Marketing Strategy] </w:t>
      </w:r>
      <w:r>
        <w:rPr>
          <w:b/>
          <w:color w:val="EF4444"/>
          <w:sz w:val="20"/>
        </w:rPr>
        <w:t>Publisher partnership terms uncertain</w:t>
      </w:r>
    </w:p>
    <w:p>
      <w:r>
        <w:rPr>
          <w:b/>
          <w:color w:val="2563EB"/>
          <w:sz w:val="18"/>
        </w:rPr>
        <w:t xml:space="preserve">[Financial Modelling] </w:t>
      </w:r>
      <w:r>
        <w:rPr>
          <w:b/>
          <w:color w:val="EF4444"/>
          <w:sz w:val="20"/>
        </w:rPr>
        <w:t>Financial model not validated with comparable companies</w:t>
      </w:r>
    </w:p>
    <w:p>
      <w:r>
        <w:rPr>
          <w:b/>
          <w:color w:val="2563EB"/>
          <w:sz w:val="18"/>
        </w:rPr>
        <w:t xml:space="preserve">[Financial Modelling] </w:t>
      </w:r>
      <w:r>
        <w:rPr>
          <w:b/>
          <w:color w:val="EF4444"/>
          <w:sz w:val="20"/>
        </w:rPr>
        <w:t>No sensitivity analysis performed</w:t>
      </w:r>
    </w:p>
    <w:p/>
    <w:p>
      <w:pPr>
        <w:pStyle w:val="Heading2"/>
      </w:pPr>
      <w:r>
        <w:t>💡 Recommendations</w:t>
      </w:r>
    </w:p>
    <w:p>
      <w:r>
        <w:rPr>
          <w:sz w:val="20"/>
        </w:rPr>
        <w:t>Priority Actions:</w:t>
        <w:br/>
        <w:br/>
        <w:t>1. Address CRITICAL challenges first — these block plan viability</w:t>
        <w:br/>
        <w:t>2. Research HIGH-severity uncertainties using suggested databases:</w:t>
        <w:br/>
        <w:t xml:space="preserve">   • Passport, GlobalData — market sizing</w:t>
        <w:br/>
        <w:t xml:space="preserve">   • CB Insights, FACTIVA — competitive intelligence</w:t>
        <w:br/>
        <w:t xml:space="preserve">   • Statista, WARC — customer data</w:t>
        <w:br/>
        <w:t xml:space="preserve">   • Mergermarket — valuation comps</w:t>
        <w:br/>
        <w:br/>
        <w:t>3. Update the Knowledge Base with findings and re-run evaluation</w:t>
        <w:br/>
        <w:t>4. Review MEDIUM-severity gaps for investor deck preparation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