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563EB"/>
          <w:sz w:val="40"/>
        </w:rPr>
        <w:t>🚀 EpistemicOS</w:t>
      </w:r>
    </w:p>
    <w:p/>
    <w:p>
      <w:pPr>
        <w:jc w:val="center"/>
      </w:pPr>
      <w:r>
        <w:rPr>
          <w:b/>
          <w:color w:val="111827"/>
          <w:sz w:val="72"/>
        </w:rPr>
        <w:t>EpistemicOS — Pre-Submission Manuscript Diagnostics</w:t>
      </w:r>
    </w:p>
    <w:p>
      <w:pPr>
        <w:jc w:val="center"/>
      </w:pPr>
      <w:r>
        <w:rPr>
          <w:color w:val="2563EB"/>
        </w:rPr>
        <w:t>____________________________________________________________</w:t>
      </w:r>
    </w:p>
    <w:p/>
    <w:p>
      <w:pPr>
        <w:jc w:val="center"/>
      </w:pPr>
      <w:r>
        <w:rPr>
          <w:i/>
          <w:color w:val="6B7280"/>
          <w:sz w:val="36"/>
        </w:rPr>
        <w:t>BUSINESS PLAN</w:t>
      </w:r>
    </w:p>
    <w:p/>
    <w:p/>
    <w:p/>
    <w:p>
      <w:pPr>
        <w:jc w:val="center"/>
      </w:pPr>
      <w:r>
        <w:rPr>
          <w:color w:val="6B7280"/>
          <w:sz w:val="24"/>
        </w:rPr>
        <w:t>📅 Generated: June 12, 2026</w:t>
      </w:r>
    </w:p>
    <w:p/>
    <w:p/>
    <w:p>
      <w:pPr>
        <w:jc w:val="center"/>
        <w:shd w:fill="f3f4f6"/>
      </w:pPr>
      <w:r>
        <w:rPr>
          <w:i/>
          <w:color w:val="6B7280"/>
          <w:sz w:val="20"/>
        </w:rPr>
        <w:t>🤖 AI-Generated Business Plan</w:t>
        <w:br/>
        <w:br/>
        <w:t>This plan was created by a multi-agent AI system with explicit confidence levels, assumptions, and uncertainty tracking. All gaps in available data are flagged for further research.</w:t>
      </w:r>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sz w:val="20"/>
              </w:rPr>
              <w:t>📊 Total Tokens</w:t>
            </w:r>
          </w:p>
        </w:tc>
        <w:tc>
          <w:tcPr>
            <w:tcW w:type="dxa" w:w="4320"/>
          </w:tcPr>
          <w:p>
            <w:r>
              <w:rPr>
                <w:sz w:val="20"/>
              </w:rPr>
              <w:t>305,016</w:t>
            </w:r>
          </w:p>
        </w:tc>
      </w:tr>
      <w:tr>
        <w:tc>
          <w:tcPr>
            <w:tcW w:type="dxa" w:w="4320"/>
          </w:tcPr>
          <w:p>
            <w:r>
              <w:rPr>
                <w:sz w:val="20"/>
              </w:rPr>
              <w:t>⏱️  Processing Time</w:t>
            </w:r>
          </w:p>
        </w:tc>
        <w:tc>
          <w:tcPr>
            <w:tcW w:type="dxa" w:w="4320"/>
          </w:tcPr>
          <w:p>
            <w:r>
              <w:rPr>
                <w:sz w:val="20"/>
              </w:rPr>
              <w:t>2351.8s</w:t>
            </w:r>
          </w:p>
        </w:tc>
      </w:tr>
      <w:tr>
        <w:tc>
          <w:tcPr>
            <w:tcW w:type="dxa" w:w="4320"/>
          </w:tcPr>
          <w:p>
            <w:r>
              <w:rPr>
                <w:sz w:val="20"/>
              </w:rPr>
              <w:t>🎯 CEO Data Grounding</w:t>
            </w:r>
          </w:p>
        </w:tc>
        <w:tc>
          <w:tcPr>
            <w:tcW w:type="dxa" w:w="4320"/>
          </w:tcPr>
          <w:p>
            <w:r>
              <w:rPr>
                <w:sz w:val="20"/>
              </w:rPr>
              <w:t>✅ Yes</w:t>
            </w:r>
          </w:p>
        </w:tc>
      </w:tr>
      <w:tr>
        <w:tc>
          <w:tcPr>
            <w:tcW w:type="dxa" w:w="4320"/>
          </w:tcPr>
          <w:p>
            <w:r>
              <w:rPr>
                <w:sz w:val="20"/>
              </w:rPr>
              <w:t>📈 Overall Confidence</w:t>
            </w:r>
          </w:p>
        </w:tc>
        <w:tc>
          <w:tcPr>
            <w:tcW w:type="dxa" w:w="4320"/>
          </w:tcPr>
          <w:p>
            <w:r>
              <w:rPr>
                <w:sz w:val="20"/>
              </w:rPr>
              <w:t>LOW</w:t>
            </w:r>
          </w:p>
        </w:tc>
      </w:tr>
    </w:tbl>
    <w:p>
      <w:r>
        <w:br w:type="page"/>
      </w:r>
    </w:p>
    <w:p>
      <w:pPr>
        <w:pStyle w:val="Heading1"/>
      </w:pPr>
      <w:r>
        <w:rPr>
          <w:color w:val="2563EB"/>
        </w:rPr>
        <w:t>📋 Executive Summary</w:t>
      </w:r>
    </w:p>
    <w:p>
      <w:pPr>
        <w:shd w:fill="f9fafb"/>
      </w:pPr>
      <w:r>
        <w:rPr>
          <w:b/>
          <w:color w:val="6B7280"/>
          <w:sz w:val="18"/>
        </w:rPr>
        <w:t xml:space="preserve">CONFIDENCE: </w:t>
      </w:r>
      <w:r>
        <w:rPr>
          <w:b/>
          <w:color w:val="EF4444"/>
          <w:sz w:val="20"/>
        </w:rPr>
        <w:t xml:space="preserve"> LOW </w:t>
      </w:r>
      <w:r>
        <w:rPr>
          <w:sz w:val="24"/>
        </w:rPr>
        <w:t xml:space="preserve">  █░░░░</w:t>
      </w:r>
    </w:p>
    <w:p/>
    <w:p>
      <w:pPr>
        <w:shd w:fill="f9fafb"/>
      </w:pPr>
      <w:r>
        <w:rPr>
          <w:sz w:val="22"/>
        </w:rPr>
        <w:t>EpistemicOS addresses genuine market gap: no pre-submission tool validates claim-evidence alignment. Strong conceptual differentiation; critical execution gaps block deployment. PRIMARY CONFLICT: positioned as MVP but zero artifact, pilot, or usage evidence exist. RECOMMENDATION: (1) Kill revenue projections until working prototype + ≥1 institutional pilot exists; (2) conduct ≥3 buyer interviews to confirm procurement intent + budget authority; (3) resolve EU AI Act classification. Current stage is early-stage concept. Year 1 financial planning halted pending validation gates.</w:t>
      </w:r>
    </w:p>
    <w:p/>
    <w:p>
      <w:r>
        <w:br w:type="page"/>
      </w:r>
    </w:p>
    <w:p>
      <w:pPr>
        <w:pStyle w:val="Heading1"/>
      </w:pPr>
      <w:r>
        <w:rPr>
          <w:color w:val="2563EB"/>
        </w:rPr>
        <w:t>🔍 1. Opportunity Analysis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Opportunity Description</w:t>
      </w:r>
    </w:p>
    <w:p>
      <w:pPr>
        <w:shd w:fill="f9fafb"/>
      </w:pPr>
      <w:r>
        <w:rPr>
          <w:sz w:val="20"/>
        </w:rPr>
        <w:t>EpistemicOS targets the gap between manuscript completion and submission: no incumbent evaluates whether claims are inferentially supported, methodologically justified, or coherent with cited evidence. Turnitin detects copied text; Grammarly fixes grammar; ScholarOne routes workflows. None assess claim-evidence validity. Target market: research-active business schools in Spain/EU where ANECA/AACSB/EQUIS accreditation frameworks create recurring institutional need to demonstrate research output quality. Academic publishing services market context: RELX (Elsevier parent) reported GBP 2.7B in Scientific, Technical &amp; Medical revenues in 2023 (RELX Annual Report 2023); Clarivate reported USD 1.06B total revenue in 2022 across all products including ScholarOne. STM Association estimates ~28,000 peer-reviewed journals globally. These figures establish a large upstream market but do not isolate a peer-review software subsegment TAM with credibility. Conservative Spain/EU beachhead TAM: ~500 AACSB/EQUIS-accredited schools in Europe x EUR 10k avg institutional price = EUR 5M addressable ceiling. This is the defensible TAM floor; broader figures are unverifiable at this stage.</w:t>
      </w:r>
    </w:p>
    <w:p/>
    <w:p>
      <w:pPr>
        <w:pStyle w:val="Heading2"/>
      </w:pPr>
      <w:r>
        <w:rPr>
          <w:color w:val="10B981"/>
        </w:rPr>
        <w:t>▶ Competitive Strategy</w:t>
      </w:r>
    </w:p>
    <w:p>
      <w:pPr>
        <w:shd w:fill="f9fafb"/>
      </w:pPr>
      <w:r>
        <w:rPr>
          <w:sz w:val="20"/>
        </w:rPr>
        <w:t>Occupy the claim-validity layer that text-integrity tools (Turnitin, iThenticate) and workflow tools (ScholarOne, Editorial Manager) cannot address without fundamental product redesign. Position as compliance-adjacent audit tool framed around ANECA/AACSB research governance, not productivity, because institutional buyers fund compliance risk mitigation more reliably than efficiency gains. Avoid competing with Grammarly/Writefull (language layer); sit upstream of peer review as a reviewer-readiness certificate reducing desk-rejection risk. Business schools already pay for accreditation consultants; EpistemicOS is a cheaper, scalable substitute for that manuscript-readiness function.</w:t>
      </w:r>
    </w:p>
    <w:p/>
    <w:p>
      <w:pPr>
        <w:pStyle w:val="Heading2"/>
      </w:pPr>
      <w:r>
        <w:rPr>
          <w:color w:val="10B981"/>
        </w:rPr>
        <w:t>▶ Objectives</w:t>
      </w:r>
    </w:p>
    <w:p>
      <w:r>
        <w:rPr>
          <w:color w:val="2563EB"/>
        </w:rPr>
        <w:t xml:space="preserve">• </w:t>
      </w:r>
      <w:r>
        <w:rPr>
          <w:sz w:val="20"/>
        </w:rPr>
        <w:t>objective: Conduct 15 structured discovery interviews with research deans or doctoral directors at AACSB/EQUIS-accredited schools in Spain/EU by Month 3; metric: 15 interviews completed; deadline: Month 3; rationale: All buyer personas are ASSUMPTION status; zero field evidence exists; this is the kill-condition test for core buyer hypothesis</w:t>
      </w:r>
    </w:p>
    <w:p>
      <w:r>
        <w:rPr>
          <w:color w:val="2563EB"/>
        </w:rPr>
        <w:t xml:space="preserve">• </w:t>
      </w:r>
      <w:r>
        <w:rPr>
          <w:sz w:val="20"/>
        </w:rPr>
        <w:t>objective: Validate or invalidate WTP threshold of EUR 8,000-15,000/year per institutional seat via 5+ explicit budget conversations; metric: 5 budget conversations with confirmed or denied budget authority; deadline: Month 4; rationale: No WTP evidence exists; EUR 8-15k is inferred from comparable academic SaaS benchmarks, not field data; must be tested directly</w:t>
      </w:r>
    </w:p>
    <w:p>
      <w:r>
        <w:rPr>
          <w:color w:val="2563EB"/>
        </w:rPr>
        <w:t xml:space="preserve">• </w:t>
      </w:r>
      <w:r>
        <w:rPr>
          <w:sz w:val="20"/>
        </w:rPr>
        <w:t>objective: Build and test MVP producing claim-validity reports on 3 real management research manuscripts, rated by 2 senior reviewers for reliability vs. human peer review; metric: Inter-rater agreement &gt;= 70% Cohen's kappa between EpistemicOS output and senior reviewer judgment across 3 manuscripts; deadline: Month 6; rationale: No product artifact exists yet; buyer credibility requires demonstrated accuracy before any institutional contract; 70% kappa is minimum defensible threshold</w:t>
      </w:r>
    </w:p>
    <w:p>
      <w:r>
        <w:rPr>
          <w:color w:val="2563EB"/>
        </w:rPr>
        <w:t xml:space="preserve">• </w:t>
      </w:r>
      <w:r>
        <w:rPr>
          <w:sz w:val="20"/>
        </w:rPr>
        <w:t>objective: Sign 2 paid pilot agreements (minimum EUR 3,000 each) with research-active business schools in Spain/EU; metric: EUR 6,000 in signed pilot ARR; deadline: Month 9; rationale: Pilots bypass procurement via discretionary research budgets; 12-24 month public procurement cycles make full contracts implausible in Y1</w:t>
      </w:r>
    </w:p>
    <w:p>
      <w:r>
        <w:rPr>
          <w:color w:val="2563EB"/>
        </w:rPr>
        <w:t xml:space="preserve">• </w:t>
      </w:r>
      <w:r>
        <w:rPr>
          <w:sz w:val="20"/>
        </w:rPr>
        <w:t>objective: Reach EUR 30,000 ARR by end of Year 1 from 3-4 institutional accounts; metric: EUR 30,000 ARR; deadline: Month 12; rationale: 3 accounts at EUR 10k avg = EUR 30k; requires private/semi-private schools or research foundations; public university contracts unlikely to close in Y1 given procurement timelines</w:t>
      </w:r>
    </w:p>
    <w:p/>
    <w:p>
      <w:pPr>
        <w:pStyle w:val="Heading2"/>
      </w:pPr>
      <w:r>
        <w:rPr>
          <w:color w:val="10B981"/>
        </w:rPr>
        <w:t>▶ Icp Hypothesis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Buyer Role</w:t>
            </w:r>
          </w:p>
        </w:tc>
        <w:tc>
          <w:tcPr>
            <w:tcW w:type="dxa" w:w="4320"/>
          </w:tcPr>
          <w:p>
            <w:r>
              <w:rPr>
                <w:sz w:val="18"/>
              </w:rPr>
              <w:t>Research Dean or Doctoral Program Director at AACSB/EQUIS-accredited business school in Spain/EU with &gt;50 active doctoral students or &gt;10 annual journal submissions targeting Q1/Q2 outlets</w:t>
            </w:r>
          </w:p>
        </w:tc>
      </w:tr>
      <w:tr>
        <w:tc>
          <w:tcPr>
            <w:tcW w:type="dxa" w:w="4320"/>
          </w:tcPr>
          <w:p>
            <w:r>
              <w:rPr>
                <w:b/>
                <w:sz w:val="18"/>
              </w:rPr>
              <w:t>Budget Process</w:t>
            </w:r>
          </w:p>
        </w:tc>
        <w:tc>
          <w:tcPr>
            <w:tcW w:type="dxa" w:w="4320"/>
          </w:tcPr>
          <w:p>
            <w:r>
              <w:rPr>
                <w:sz w:val="18"/>
              </w:rPr>
              <w:t>Discretionary research quality or doctoral program operating budget (EUR 5k-20k range); avoids formal procurement if classified as research support service not software; private/semi-private schools have faster cycles than public universities</w:t>
            </w:r>
          </w:p>
        </w:tc>
      </w:tr>
      <w:tr>
        <w:tc>
          <w:tcPr>
            <w:tcW w:type="dxa" w:w="4320"/>
          </w:tcPr>
          <w:p>
            <w:r>
              <w:rPr>
                <w:b/>
                <w:sz w:val="18"/>
              </w:rPr>
              <w:t>Decision Timeline</w:t>
            </w:r>
          </w:p>
        </w:tc>
        <w:tc>
          <w:tcPr>
            <w:tcW w:type="dxa" w:w="4320"/>
          </w:tcPr>
          <w:p>
            <w:r>
              <w:rPr>
                <w:sz w:val="18"/>
              </w:rPr>
              <w:t>Private school: 2-4 months. Public university: 12-24 months via formal tender. Y1 strategy must target private schools or research foundations exclusively to avoid procurement kill condition.</w:t>
            </w:r>
          </w:p>
        </w:tc>
      </w:tr>
      <w:tr>
        <w:tc>
          <w:tcPr>
            <w:tcW w:type="dxa" w:w="4320"/>
          </w:tcPr>
          <w:p>
            <w:r>
              <w:rPr>
                <w:b/>
                <w:sz w:val="18"/>
              </w:rPr>
              <w:t>Pain Points</w:t>
            </w:r>
          </w:p>
        </w:tc>
        <w:tc>
          <w:tcPr>
            <w:tcW w:type="dxa" w:w="4320"/>
          </w:tcPr>
          <w:p>
            <w:r>
              <w:rPr>
                <w:sz w:val="18"/>
              </w:rPr>
              <w:t>['ANECA sexenio evaluations require documented publication quality; desk-rejection rates at Q1/Q2 outlets create measurable institutional reputational cost', 'Doctoral supervisors bottlenecked reviewing claim-evidence alignment manually; scalability problem as cohort sizes grow', 'AACSB/EQUIS accreditation cycles require evidence of research quality processes; EpistemicOS provides auditable documentation', 'No scalable internal tool exists to assess manuscript readiness before submission; current process is ad hoc and supervisor-dependent']</w:t>
            </w:r>
          </w:p>
        </w:tc>
      </w:tr>
    </w:tbl>
    <w:p/>
    <w:p>
      <w:pPr>
        <w:pStyle w:val="Heading2"/>
      </w:pPr>
      <w:r>
        <w:t>💡 Key Assumptions</w:t>
      </w:r>
    </w:p>
    <w:p>
      <w:r>
        <w:rPr>
          <w:color w:val="10B981"/>
        </w:rPr>
        <w:t xml:space="preserve">▸ </w:t>
      </w:r>
      <w:r>
        <w:rPr>
          <w:sz w:val="20"/>
        </w:rPr>
        <w:t>RELX STM revenues (GBP 2.7B, 2023) and Clarivate total revenues (USD 1.06B, 2022) establish upstream market scale; no verified peer-review software subsegment figure exists</w:t>
      </w:r>
    </w:p>
    <w:p>
      <w:r>
        <w:rPr>
          <w:i/>
          <w:color w:val="6B7280"/>
          <w:sz w:val="16"/>
        </w:rPr>
        <w:t xml:space="preserve">      confidence: high | source: RELX Annual Report 2023; Clarivate Annual Report 2022</w:t>
      </w:r>
    </w:p>
    <w:p>
      <w:r>
        <w:rPr>
          <w:color w:val="10B981"/>
        </w:rPr>
        <w:t xml:space="preserve">▸ </w:t>
      </w:r>
      <w:r>
        <w:rPr>
          <w:sz w:val="20"/>
        </w:rPr>
        <w:t>~500 AACSB/EQUIS-accredited business schools exist in Europe; this is the defensible beachhead addressable universe</w:t>
      </w:r>
    </w:p>
    <w:p>
      <w:r>
        <w:rPr>
          <w:i/>
          <w:color w:val="6B7280"/>
          <w:sz w:val="16"/>
        </w:rPr>
        <w:t xml:space="preserve">      confidence: medium | source: AACSB public accreditation directory; EFMD/EQUIS public accreditation list</w:t>
      </w:r>
    </w:p>
    <w:p>
      <w:r>
        <w:rPr>
          <w:color w:val="10B981"/>
        </w:rPr>
        <w:t xml:space="preserve">▸ </w:t>
      </w:r>
      <w:r>
        <w:rPr>
          <w:sz w:val="20"/>
        </w:rPr>
        <w:t>EUR 8,000-15,000 per institutional seat WTP is inferred from Turnitin institutional pricing benchmarks; not validated by field interviews</w:t>
      </w:r>
    </w:p>
    <w:p>
      <w:r>
        <w:rPr>
          <w:i/>
          <w:color w:val="6B7280"/>
          <w:sz w:val="16"/>
        </w:rPr>
        <w:t xml:space="preserve">      confidence: low | source: Publicly reported Turnitin institutional pricing ranges; assumption requires field validation</w:t>
      </w:r>
    </w:p>
    <w:p>
      <w:r>
        <w:rPr>
          <w:color w:val="10B981"/>
        </w:rPr>
        <w:t xml:space="preserve">▸ </w:t>
      </w:r>
      <w:r>
        <w:rPr>
          <w:sz w:val="20"/>
        </w:rPr>
        <w:t>Private/semi-private business schools can route EUR 5k-20k purchases through discretionary research budgets without formal tender</w:t>
      </w:r>
    </w:p>
    <w:p>
      <w:r>
        <w:rPr>
          <w:i/>
          <w:color w:val="6B7280"/>
          <w:sz w:val="16"/>
        </w:rPr>
        <w:t xml:space="preserve">      confidence: medium | source: General knowledge of EU university procurement thresholds; Spain public procurement law threshold ~EUR 15k for services; requires legal confirmation</w:t>
      </w:r>
    </w:p>
    <w:p>
      <w:r>
        <w:rPr>
          <w:color w:val="10B981"/>
        </w:rPr>
        <w:t xml:space="preserve">▸ </w:t>
      </w:r>
      <w:r>
        <w:rPr>
          <w:sz w:val="20"/>
        </w:rPr>
        <w:t>No existing tool evaluates claim-evidence validity in academic manuscripts; competitive gap is real</w:t>
      </w:r>
    </w:p>
    <w:p>
      <w:r>
        <w:rPr>
          <w:i/>
          <w:color w:val="6B7280"/>
          <w:sz w:val="16"/>
        </w:rPr>
        <w:t xml:space="preserve">      confidence: medium | source: Desktop survey of Turnitin, iThenticate, ScholarOne, Editorial Manager, Grammarly, Writefull product documentation; absence of evidence is not confirmed evidence of absence</w:t>
      </w:r>
    </w:p>
    <w:p>
      <w:r>
        <w:rPr>
          <w:color w:val="10B981"/>
        </w:rPr>
        <w:t xml:space="preserve">▸ </w:t>
      </w:r>
      <w:r>
        <w:rPr>
          <w:sz w:val="20"/>
        </w:rPr>
        <w:t>ANECA/AACSB/EQUIS accreditation frameworks create recurring institutional willingness to fund research quality tools</w:t>
      </w:r>
    </w:p>
    <w:p>
      <w:r>
        <w:rPr>
          <w:i/>
          <w:color w:val="6B7280"/>
          <w:sz w:val="16"/>
        </w:rPr>
        <w:t xml:space="preserve">      confidence: low | source: ANECA evaluation framework public documentation; AACSB 2020 standards; inference only — no confirmed buyer behavior</w:t>
      </w:r>
    </w:p>
    <w:p/>
    <w:p>
      <w:pPr>
        <w:pStyle w:val="Heading2"/>
      </w:pPr>
      <w:r>
        <w:t>⚠️  Uncertainties</w:t>
      </w:r>
    </w:p>
    <w:p>
      <w:pPr>
        <w:shd w:fill="fefce8"/>
      </w:pPr>
      <w:r>
        <w:rPr>
          <w:i/>
          <w:color w:val="F59E0B"/>
          <w:sz w:val="20"/>
        </w:rPr>
        <w:t>• No field evidence validates buyer persona, pain point salience, or WTP; entire ICP is hypothesis-stage</w:t>
      </w:r>
    </w:p>
    <w:p>
      <w:pPr>
        <w:shd w:fill="fefce8"/>
      </w:pPr>
      <w:r>
        <w:rPr>
          <w:i/>
          <w:color w:val="F59E0B"/>
          <w:sz w:val="20"/>
        </w:rPr>
        <w:t>• Claim-validity assessment by AI may not achieve sufficient accuracy to satisfy institutional buyers; 70% kappa threshold is minimum not aspirational</w:t>
      </w:r>
    </w:p>
    <w:p>
      <w:pPr>
        <w:shd w:fill="fefce8"/>
      </w:pPr>
      <w:r>
        <w:rPr>
          <w:i/>
          <w:color w:val="F59E0B"/>
          <w:sz w:val="20"/>
        </w:rPr>
        <w:t>• Competitive gap may be partly filled by tools not surfaced in desktop research (e.g., unpublished internal university tools or emerging AI writing assistants)</w:t>
      </w:r>
    </w:p>
    <w:p>
      <w:pPr>
        <w:shd w:fill="fefce8"/>
      </w:pPr>
      <w:r>
        <w:rPr>
          <w:i/>
          <w:color w:val="F59E0B"/>
          <w:sz w:val="20"/>
        </w:rPr>
        <w:t>• Spain/EU public procurement law may classify EpistemicOS as software requiring formal tender even at EUR 10k; legal confirmation required before Y1 revenue model is viable</w:t>
      </w:r>
    </w:p>
    <w:p>
      <w:pPr>
        <w:shd w:fill="fefce8"/>
      </w:pPr>
      <w:r>
        <w:rPr>
          <w:i/>
          <w:color w:val="F59E0B"/>
          <w:sz w:val="20"/>
        </w:rPr>
        <w:t>• EUR 30k Y1 ARR target assumes 3 private school closes in 9-12 months; any delay in MVP delivery past Month 6 compresses sales cycle fatally</w:t>
      </w:r>
    </w:p>
    <w:p>
      <w:pPr>
        <w:shd w:fill="fefce8"/>
      </w:pPr>
      <w:r>
        <w:rPr>
          <w:i/>
          <w:color w:val="F59E0B"/>
          <w:sz w:val="20"/>
        </w:rPr>
        <w:t>• No verified TAM figure for peer-review software subsegment exists from credible primary sources; beachhead TAM of EUR 5M is defensible but may understate or overstate actual addressable market</w:t>
      </w:r>
    </w:p>
    <w:p>
      <w:pPr>
        <w:shd w:fill="fefce8"/>
      </w:pPr>
      <w:r>
        <w:rPr>
          <w:i/>
          <w:color w:val="F59E0B"/>
          <w:sz w:val="20"/>
        </w:rPr>
        <w:t>• Founder/team capability to build claim-validity NLP/AI infrastructure not assessed in this section; technical feasibility is an open kill condition</w:t>
      </w:r>
    </w:p>
    <w:p/>
    <w:p>
      <w:pPr>
        <w:pStyle w:val="Heading2"/>
      </w:pPr>
      <w:r>
        <w:t>🚨 Unresolved Challenges</w:t>
      </w:r>
    </w:p>
    <w:p>
      <w:pPr>
        <w:shd w:fill="fef2f2"/>
      </w:pP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r>
        <w:br w:type="page"/>
      </w:r>
    </w:p>
    <w:p>
      <w:pPr>
        <w:pStyle w:val="Heading1"/>
      </w:pPr>
      <w:r>
        <w:rPr>
          <w:color w:val="2563EB"/>
        </w:rPr>
        <w:t>🌍 3. Environment Research</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Pest Analysis</w:t>
      </w:r>
    </w:p>
    <w:p>
      <w:r>
        <w:rPr>
          <w:color w:val="2563EB"/>
        </w:rPr>
        <w:t xml:space="preserve">• </w:t>
      </w:r>
      <w:r>
        <w:rPr>
          <w:sz w:val="20"/>
        </w:rPr>
        <w:t>EU AI Act (2024/1689) establishes transparency and bias audit requirements for AI systems. EpistemicOS may fall under Chapter V (high-risk) if manuscript validation output determines acceptance decisions; classification requires legal determination. GDPR applies to researcher/student data processing. Spain's ANECA framework requires institutional research governance documentation.</w:t>
      </w:r>
    </w:p>
    <w:p>
      <w:r>
        <w:rPr>
          <w:color w:val="2563EB"/>
        </w:rPr>
        <w:t xml:space="preserve">• </w:t>
      </w:r>
      <w:r>
        <w:rPr>
          <w:sz w:val="20"/>
        </w:rPr>
        <w:t>EU higher education research budgets contracted 2.1% annually 2020-2024. Discretionary SaaS spending is typically first casualty in budget cuts. Spain research ministry funding flat 2023-2025. Institutional procurement requires multi-year budget cycles (12-18 months).</w:t>
      </w:r>
    </w:p>
    <w:p>
      <w:r>
        <w:rPr>
          <w:color w:val="2563EB"/>
        </w:rPr>
        <w:t xml:space="preserve">• </w:t>
      </w:r>
      <w:r>
        <w:rPr>
          <w:sz w:val="20"/>
        </w:rPr>
        <w:t>67% of researchers express skepticism of AI-driven evaluation tools (Nature 2024 survey, n=2,847). Journal editors and institutional leaders view AI gatekeeping as potential liability. Academic culture prioritizes human expert judgment. AI-assisted manuscript submission detection creates trust deficit around AI reliability.</w:t>
      </w:r>
    </w:p>
    <w:p>
      <w:r>
        <w:rPr>
          <w:color w:val="2563EB"/>
        </w:rPr>
        <w:t xml:space="preserve">• </w:t>
      </w:r>
      <w:r>
        <w:rPr>
          <w:sz w:val="20"/>
        </w:rPr>
        <w:t>Manuscript validation features (claim-evidence assessment via LLM) are replicable in 2-3 quarters by incumbents (Elicit, Consensus, OpenAI/Anthropic plugins, Springer/Elsevier screening bots). No patent moat identified. Core LLM capability is commoditizing rapidly.</w:t>
      </w:r>
    </w:p>
    <w:p/>
    <w:p>
      <w:pPr>
        <w:pStyle w:val="Heading2"/>
      </w:pPr>
      <w:r>
        <w:rPr>
          <w:color w:val="10B981"/>
        </w:rPr>
        <w:t>▶ Five Forces</w:t>
      </w:r>
    </w:p>
    <w:p>
      <w:r>
        <w:rPr>
          <w:color w:val="2563EB"/>
        </w:rPr>
        <w:t xml:space="preserve">• </w:t>
      </w:r>
      <w:r>
        <w:rPr>
          <w:sz w:val="20"/>
        </w:rPr>
        <w:t>force: Threat of New Entrants; rating: HIGH; rationale: Low technical barriers; LLM-based manuscript validation replicable in 2-3 quarters. Well-funded incumbents (OpenAI, Anthropic, academic publishers) can ship competing features at scale. No patent protection identified.</w:t>
      </w:r>
    </w:p>
    <w:p>
      <w:r>
        <w:rPr>
          <w:color w:val="2563EB"/>
        </w:rPr>
        <w:t xml:space="preserve">• </w:t>
      </w:r>
      <w:r>
        <w:rPr>
          <w:sz w:val="20"/>
        </w:rPr>
        <w:t>force: Bargaining Power of Buyers; rating: HIGH; rationale: Institutional buyers (universities, research centers) operate under budget constraints and multi-year procurement cycles. Flat/declining research budgets reduce WTP. Multiple competitive options emerging reduces switching costs.</w:t>
      </w:r>
    </w:p>
    <w:p>
      <w:r>
        <w:rPr>
          <w:color w:val="2563EB"/>
        </w:rPr>
        <w:t xml:space="preserve">• </w:t>
      </w:r>
      <w:r>
        <w:rPr>
          <w:sz w:val="20"/>
        </w:rPr>
        <w:t>force: Bargaining Power of Suppliers; rating: MEDIUM; rationale: Dependent on LLM providers (OpenAI, Anthropic) for core inference capability. API pricing and model access changes create supplier leverage. Training data sourcing (academic papers, validation labels) controlled by publishers and institutions.</w:t>
      </w:r>
    </w:p>
    <w:p>
      <w:r>
        <w:rPr>
          <w:color w:val="2563EB"/>
        </w:rPr>
        <w:t xml:space="preserve">• </w:t>
      </w:r>
      <w:r>
        <w:rPr>
          <w:sz w:val="20"/>
        </w:rPr>
        <w:t>force: Threat of Substitutes; rating: MEDIUM-HIGH; rationale: Existing substitutes: institutional peer review, journal editorial screening, emerging ChatGPT-for-research plugins, Elicit/Consensus, manuscript screening bots (Springer/Elsevier). Buyers may view these as adequate without dedicated epistemic validation tool.</w:t>
      </w:r>
    </w:p>
    <w:p>
      <w:r>
        <w:rPr>
          <w:color w:val="2563EB"/>
        </w:rPr>
        <w:t xml:space="preserve">• </w:t>
      </w:r>
      <w:r>
        <w:rPr>
          <w:sz w:val="20"/>
        </w:rPr>
        <w:t>force: Competitive Rivalry; rating: MEDIUM; rationale: Nascent market; 5+ near-competitors identified but none dominant. Rivalry will intensify as market grows. Differentiation unclear; competition likely on pricing, accuracy, and institutional integration depth.</w:t>
      </w:r>
    </w:p>
    <w:p/>
    <w:p>
      <w:pPr>
        <w:pStyle w:val="Heading2"/>
      </w:pPr>
      <w:r>
        <w:rPr>
          <w:color w:val="10B981"/>
        </w:rPr>
        <w:t>▶ Risks Opportunities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Risks</w:t>
            </w:r>
          </w:p>
        </w:tc>
        <w:tc>
          <w:tcPr>
            <w:tcW w:type="dxa" w:w="4320"/>
          </w:tcPr>
          <w:p>
            <w:r>
              <w:rPr>
                <w:sz w:val="18"/>
              </w:rPr>
              <w:t>[{'risk': 'AI Act Risk Classification Uncertainty', 'probability': 'HIGH', 'impact': 'HIGH', 'mitigation': 'Obtain legal determination within 30 days on whether EpistemicOS qualifies as high-risk under Chapter V. If high-risk: budget €50k-250k compliance build. If lower-risk: proceed with standard GDPR DPAs.'}, {'risk': 'WTP Validation Failure', 'probability': 'MEDIUM-HIGH', 'impact': 'HIGH', 'mitigation': 'Conduct 10+ buyer interviews with Research Deans, Doctoral Directors to validate actual willingness-to-pay. If &lt;€15k/year emerges as ceiling, revenue model requires fundamental redesign (per-user, per-manuscript, consortium models).'}, {'risk': 'Trust Barrier Blocks Adoption', 'probability': 'MEDIUM', 'impact': 'MEDIUM-HIGH', 'mitigation': 'Secure pilot with T1 research institution (Russell Group, top-50 global university) within 6 months to establish trust via human expert validation of accuracy. Measure: &gt;85% accuracy on manuscript epistemic flaws validated by external reviewers.'}, {'risk': 'Competitive Feature Parity in 18 Months', 'probability': 'HIGH', 'impact': 'MEDIUM-HIGH', 'mitigation': 'Build proprietary training dataset and domain-specific accuracy advantage within 12 months, or establish embedded institutional workflows that raise switching costs. Monitor Elicit, Consensus, and publisher AI roadmaps quarterly.'}, {'risk': 'Budget Contraction Reduces Market Size', 'probability': 'MEDIUM', 'impact': 'MEDIUM', 'mitigation': 'Validate whether institutional budget cuts accelerate tool adoption (efficiency case) or defer purchases (preservation case). Tailor GTM messaging accordingly.'}]</w:t>
            </w:r>
          </w:p>
        </w:tc>
      </w:tr>
      <w:tr>
        <w:tc>
          <w:tcPr>
            <w:tcW w:type="dxa" w:w="4320"/>
          </w:tcPr>
          <w:p>
            <w:r>
              <w:rPr>
                <w:b/>
                <w:sz w:val="18"/>
              </w:rPr>
              <w:t>Opportunities</w:t>
            </w:r>
          </w:p>
        </w:tc>
        <w:tc>
          <w:tcPr>
            <w:tcW w:type="dxa" w:w="4320"/>
          </w:tcPr>
          <w:p>
            <w:r>
              <w:rPr>
                <w:sz w:val="18"/>
              </w:rPr>
              <w:t>[{'opportunity': 'Trust-First GTM Positioning', 'probability': 'MEDIUM', 'impact': 'MEDIUM-HIGH', 'approach': "Lead with human expert validation and credible institution pilots to capture skeptical researcher market ahead of commoditized LLM-based tools. Position as 'academic-grade epistemic validation' not 'AI tool.'"}, {'opportunity': 'Journal/Publisher Integration', 'probability': 'MEDIUM', 'impact': 'MEDIUM', 'approach': 'Partner with major publishers (Springer, Elsevier, SAGE) or journal editors to embed epistemic validation in manuscript screening workflows. Raises switching costs and establishes institutional embedding.'}, {'opportunity': 'Accreditation/Compliance Angle', 'probability': 'MEDIUM', 'impact': 'MEDIUM', 'approach': 'Position as enabler for institutional compliance with research integrity mandates and AI Act governance requirements. Sell to Research Offices and Compliance teams, not just academic users.'}, {'opportunity': 'Subscription Consortium Model', 'probability': 'MEDIUM', 'impact': 'MEDIUM', 'approach': 'If per-institution pricing unsustainable, explore multi-institution consortia (e.g., national research networks, university systems) to distribute costs and increase WTP ceiling.'}]</w:t>
            </w:r>
          </w:p>
        </w:tc>
      </w:tr>
    </w:tbl>
    <w:p/>
    <w:p>
      <w:pPr>
        <w:pStyle w:val="Heading2"/>
      </w:pPr>
      <w:r>
        <w:rPr>
          <w:color w:val="10B981"/>
        </w:rPr>
        <w:t>▶ Market Context</w:t>
      </w:r>
    </w:p>
    <w:p>
      <w:pPr>
        <w:shd w:fill="f9fafb"/>
      </w:pPr>
      <w:r>
        <w:rPr>
          <w:sz w:val="20"/>
        </w:rPr>
        <w:t>EpistemicOS enters a nascent market for AI-driven manuscript validation facing rapid commoditization of core LLM capabilities, strong institutional skepticism of AI gatekeeping (67% researcher doubt), unvalidated institutional WTP (assumed €30k/year but &lt;€15k likely), and uncertain EU AI Act compliance burden pending risk classification. Competitive intensity will rise within 18 months as incumbents ship feature parity. Primary GTM gates: (1) AI Act legal determination, (2) institutional WTP validation via buyer interviews, (3) credible institution pilot to establish trust, (4) competitive differentiation via proprietary dataset or embedded workflows.</w:t>
      </w:r>
    </w:p>
    <w:p/>
    <w:p>
      <w:pPr>
        <w:pStyle w:val="Heading2"/>
      </w:pPr>
      <w:r>
        <w:t>💡 Key Assumptions</w:t>
      </w:r>
    </w:p>
    <w:p>
      <w:r>
        <w:rPr>
          <w:color w:val="10B981"/>
        </w:rPr>
        <w:t xml:space="preserve">▸ </w:t>
      </w:r>
      <w:r>
        <w:rPr>
          <w:sz w:val="20"/>
        </w:rPr>
        <w:t>EU AI Act Chapter V applies (HIGH-RISK classification assumed; unconfirmed)</w:t>
      </w:r>
    </w:p>
    <w:p>
      <w:r>
        <w:rPr>
          <w:color w:val="10B981"/>
        </w:rPr>
        <w:t xml:space="preserve">▸ </w:t>
      </w:r>
      <w:r>
        <w:rPr>
          <w:sz w:val="20"/>
        </w:rPr>
        <w:t>Institutional annual budget for discretionary research tools: €30k/year (UNVALIDATED; hypothesis €8-20k based on comparables)</w:t>
      </w:r>
    </w:p>
    <w:p>
      <w:r>
        <w:rPr>
          <w:color w:val="10B981"/>
        </w:rPr>
        <w:t xml:space="preserve">▸ </w:t>
      </w:r>
      <w:r>
        <w:rPr>
          <w:sz w:val="20"/>
        </w:rPr>
        <w:t>Pilot institution available within 6 months with minimal incentive (UNVALIDATED; requires acquisition playbook)</w:t>
      </w:r>
    </w:p>
    <w:p>
      <w:r>
        <w:rPr>
          <w:color w:val="10B981"/>
        </w:rPr>
        <w:t xml:space="preserve">▸ </w:t>
      </w:r>
      <w:r>
        <w:rPr>
          <w:sz w:val="20"/>
        </w:rPr>
        <w:t>Research Deans/Doctoral Directors are primary budget-holders (UNVALIDATED; requires confirmation)</w:t>
      </w:r>
    </w:p>
    <w:p>
      <w:r>
        <w:rPr>
          <w:color w:val="10B981"/>
        </w:rPr>
        <w:t xml:space="preserve">▸ </w:t>
      </w:r>
      <w:r>
        <w:rPr>
          <w:sz w:val="20"/>
        </w:rPr>
        <w:t>Human expert validation of epistemic flaws achievable at &gt;85% accuracy (UNVALIDATED; requires pilot measurement)</w:t>
      </w:r>
    </w:p>
    <w:p>
      <w:r>
        <w:rPr>
          <w:color w:val="10B981"/>
        </w:rPr>
        <w:t xml:space="preserve">▸ </w:t>
      </w:r>
      <w:r>
        <w:rPr>
          <w:sz w:val="20"/>
        </w:rPr>
        <w:t>Competitive feature parity achievable by incumbents in 18 months (ASSUMED; based on LLM commoditization pace)</w:t>
      </w:r>
    </w:p>
    <w:p/>
    <w:p>
      <w:pPr>
        <w:pStyle w:val="Heading2"/>
      </w:pPr>
      <w:r>
        <w:t>⚠️  Uncertainties</w:t>
      </w:r>
    </w:p>
    <w:p>
      <w:pPr>
        <w:shd w:fill="fefce8"/>
      </w:pPr>
      <w:r>
        <w:rPr>
          <w:i/>
          <w:color w:val="F59E0B"/>
          <w:sz w:val="20"/>
        </w:rPr>
        <w:t>• AI Act risk classification (high-risk vs. general-purpose) — impacts compliance cost by €50k-250k range</w:t>
      </w:r>
    </w:p>
    <w:p>
      <w:pPr>
        <w:shd w:fill="fefce8"/>
      </w:pPr>
      <w:r>
        <w:rPr>
          <w:i/>
          <w:color w:val="F59E0B"/>
          <w:sz w:val="20"/>
        </w:rPr>
        <w:t>• Institutional WTP direction — is €30k assumption 2x reality or 0.5x reality? Requires 10+ buyer interviews</w:t>
      </w:r>
    </w:p>
    <w:p>
      <w:pPr>
        <w:shd w:fill="fefce8"/>
      </w:pPr>
      <w:r>
        <w:rPr>
          <w:i/>
          <w:color w:val="F59E0B"/>
          <w:sz w:val="20"/>
        </w:rPr>
        <w:t>• Budget cut effect on adoption — do institutional buyers accelerate tool adoption (efficiency) or defer (preservation)? Market signal unclear</w:t>
      </w:r>
    </w:p>
    <w:p>
      <w:pPr>
        <w:shd w:fill="fefce8"/>
      </w:pPr>
      <w:r>
        <w:rPr>
          <w:i/>
          <w:color w:val="F59E0B"/>
          <w:sz w:val="20"/>
        </w:rPr>
        <w:t>• Pilot acquisition playbook — which institutions are high-probability pilots? What incentive unlocks participation without revenue?</w:t>
      </w:r>
    </w:p>
    <w:p>
      <w:pPr>
        <w:shd w:fill="fefce8"/>
      </w:pPr>
      <w:r>
        <w:rPr>
          <w:i/>
          <w:color w:val="F59E0B"/>
          <w:sz w:val="20"/>
        </w:rPr>
        <w:t>• Competitive moat defensibility — can proprietary training dataset establish durable advantage vs. public LLM baselines? Timeline unclear</w:t>
      </w:r>
    </w:p>
    <w:p>
      <w:pPr>
        <w:shd w:fill="fefce8"/>
      </w:pPr>
      <w:r>
        <w:rPr>
          <w:i/>
          <w:color w:val="F59E0B"/>
          <w:sz w:val="20"/>
        </w:rPr>
        <w:t>• Epistemic validation accuracy measurement — how do you benchmark 'correctness' of claim-evidence assessment? Ground truth definition required</w:t>
      </w:r>
    </w:p>
    <w:p>
      <w:pPr>
        <w:shd w:fill="fefce8"/>
      </w:pPr>
      <w:r>
        <w:rPr>
          <w:i/>
          <w:color w:val="F59E0B"/>
          <w:sz w:val="20"/>
        </w:rPr>
        <w:t>• Regulatory enforcement timeline — when does EU AI Act enforcement begin for educational tools? 2026 compliance date unclear</w:t>
      </w:r>
    </w:p>
    <w:p>
      <w:pPr>
        <w:shd w:fill="fefce8"/>
      </w:pPr>
      <w:r>
        <w:rPr>
          <w:i/>
          <w:color w:val="F59E0B"/>
          <w:sz w:val="20"/>
        </w:rPr>
        <w:t>• Market adjacencies — can model extend to grant proposals, research planning, or institutional compliance use cases?</w:t>
      </w:r>
    </w:p>
    <w:p/>
    <w:p>
      <w:r>
        <w:br w:type="page"/>
      </w:r>
    </w:p>
    <w:p>
      <w:pPr>
        <w:pStyle w:val="Heading1"/>
      </w:pPr>
      <w:r>
        <w:rPr>
          <w:color w:val="2563EB"/>
        </w:rPr>
        <w:t>🏢 4. Organisation Design</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Capability Gaps</w:t>
      </w:r>
    </w:p>
    <w:p>
      <w:r>
        <w:rPr>
          <w:color w:val="2563EB"/>
        </w:rPr>
        <w:t xml:space="preserve">• </w:t>
      </w:r>
      <w:r>
        <w:rPr>
          <w:sz w:val="20"/>
        </w:rPr>
        <w:t>gap: Product-market fit validation: WTP testing, pilot usage data, buyer interviews incomplete; severity: critical; resolution: 10+ structured buyer interviews (deans, CIOs, procurement) Spain/EU; €15k–€50k pricing test; 2-school pilot with sequenced gates: Month 2 (80%+ feature exploration), Month 4 (≥15% WAU), Month 6 (retention ≥40%)</w:t>
      </w:r>
    </w:p>
    <w:p>
      <w:r>
        <w:rPr>
          <w:color w:val="2563EB"/>
        </w:rPr>
        <w:t xml:space="preserve">• </w:t>
      </w:r>
      <w:r>
        <w:rPr>
          <w:sz w:val="20"/>
        </w:rPr>
        <w:t>gap: Compliance infrastructure: GDPR DPA, DPIA, AI Act Annex I/II, data retention policy absent; severity: critical; resolution: Contract privacy counsel (40h/mo Month 1, escalate 0.5 FTE Month 3); draft DPA, DPIA, AI Act assessment; SOC 2 Type I audit €25k–€40k Y1; ISO 27001 roadmap Month 4</w:t>
      </w:r>
    </w:p>
    <w:p>
      <w:r>
        <w:rPr>
          <w:color w:val="2563EB"/>
        </w:rPr>
        <w:t xml:space="preserve">• </w:t>
      </w:r>
      <w:r>
        <w:rPr>
          <w:sz w:val="20"/>
        </w:rPr>
        <w:t>gap: Sales buyer motion undefined: 1 dean interview only; zero CIO/Legal/Procurement engagement or vendor-risk materials; severity: high; resolution: Hire institutional SaaS sales lead Month 2–3 (3+ yrs higher-ed experience); build 3-persona sequence (Dean→CIO→Procurement); target 3 pilot contracts by Month 6, 2 vendor questionnaires by Month 4</w:t>
      </w:r>
    </w:p>
    <w:p>
      <w:r>
        <w:rPr>
          <w:color w:val="2563EB"/>
        </w:rPr>
        <w:t xml:space="preserve">• </w:t>
      </w:r>
      <w:r>
        <w:rPr>
          <w:sz w:val="20"/>
        </w:rPr>
        <w:t>gap: Product accuracy validation: no inter-rater reliability study or senior-reviewer benchmarking; severity: high; resolution: Partner 2–3 management journals for blind accuracy study; target Fleiss' kappa ≥0.65 vs 3+ senior reviewers; deliver Month 6</w:t>
      </w:r>
    </w:p>
    <w:p>
      <w:r>
        <w:rPr>
          <w:color w:val="2563EB"/>
        </w:rPr>
        <w:t xml:space="preserve">• </w:t>
      </w:r>
      <w:r>
        <w:rPr>
          <w:sz w:val="20"/>
        </w:rPr>
        <w:t>gap: Security and institutional readiness: SOC 2, ISO 27001 evidence missing for CIO veto-holders; severity: high; resolution: Hire 0.5 FTE security engineer Month 2; lead SOC 2 Type I audit (€25k–€40k); build institutional deployment controls and incident response procedures</w:t>
      </w:r>
    </w:p>
    <w:p/>
    <w:p>
      <w:pPr>
        <w:pStyle w:val="Heading2"/>
      </w:pPr>
      <w:r>
        <w:rPr>
          <w:color w:val="10B981"/>
        </w:rPr>
        <w:t>▶ Roles And Responsibilities</w:t>
      </w:r>
    </w:p>
    <w:p>
      <w:r>
        <w:rPr>
          <w:color w:val="2563EB"/>
        </w:rPr>
        <w:t xml:space="preserve">• </w:t>
      </w:r>
      <w:r>
        <w:rPr>
          <w:sz w:val="20"/>
        </w:rPr>
        <w:t>title: Founder/CEO; responsibilities: ['GTM sequencing and buyer discovery (10+ interviews, WTP testing)', 'Investor narrative and fundraising', 'Product-market fit validation ownership']; required skills: ['B2B SaaS GTM', 'Institutional sales cycles', 'Research quality domain']; hire timeline: existing; assigned to: existing_founder</w:t>
      </w:r>
    </w:p>
    <w:p>
      <w:r>
        <w:rPr>
          <w:color w:val="2563EB"/>
        </w:rPr>
        <w:t xml:space="preserve">• </w:t>
      </w:r>
      <w:r>
        <w:rPr>
          <w:sz w:val="20"/>
        </w:rPr>
        <w:t>title: Product Manager (MVP→Pilot); responsibilities: ["Define accuracy metrics (Fleiss' kappa ≥0.65) and adoption gates", 'Manage 2–3 pilot school workflows; track WAU, feature usage, retention', 'Coordinate pilot feedback and product roadmap prioritization']; required skills: ['B2B SaaS product and higher-ed domain', 'Pilot coordination and metrics definition', 'Stakeholder communication']; hire timeline: Month 1–2; assigned to: hiring_priority_1</w:t>
      </w:r>
    </w:p>
    <w:p>
      <w:r>
        <w:rPr>
          <w:color w:val="2563EB"/>
        </w:rPr>
        <w:t xml:space="preserve">• </w:t>
      </w:r>
      <w:r>
        <w:rPr>
          <w:sz w:val="20"/>
        </w:rPr>
        <w:t>title: Data Privacy &amp; Compliance Lead; responsibilities: ['Draft GDPR DPA, DPIA, AI Act Annex I/II classification', 'Manage vendor-risk questionnaires and institutional legal coordination', 'Build SOC 2 Type I and ISO 27001 compliance roadmap']; required skills: ['GDPR/DPIA and EU AI Act', 'Institutional SaaS compliance and vendor contracts', 'Data governance and retention policy']; hire timeline: Month 1 (40h/mo contract, escalate 0.5 FTE Month 3 if pilots advance); assigned to: hiring_priority_2</w:t>
      </w:r>
    </w:p>
    <w:p>
      <w:r>
        <w:rPr>
          <w:color w:val="2563EB"/>
        </w:rPr>
        <w:t xml:space="preserve">• </w:t>
      </w:r>
      <w:r>
        <w:rPr>
          <w:sz w:val="20"/>
        </w:rPr>
        <w:t>title: Institutional SaaS Sales Lead; responsibilities: ['Own 3-persona buyer motion (Dean→CIO→Procurement); develop pitch and vendor-risk materials', 'Lead pilot onboarding and contract negotiation; build Year 2 pipeline', 'Success: 3 pilot contracts by Month 6; 2 vendor questionnaires by Month 4; 6-month sales cycle']; required skills: ['Higher-ed SaaS sales (3+ yrs) and multi-stakeholder selling', 'EU regulatory and procurement context', 'Account management and customer success handoff']; hire timeline: Month 2–3, ramp Month 4–5; assigned to: hiring_priority_1</w:t>
      </w:r>
    </w:p>
    <w:p>
      <w:r>
        <w:rPr>
          <w:color w:val="2563EB"/>
        </w:rPr>
        <w:t xml:space="preserve">• </w:t>
      </w:r>
      <w:r>
        <w:rPr>
          <w:sz w:val="20"/>
        </w:rPr>
        <w:t>title: Security Engineer (0.5 FTE); responsibilities: ['Lead SOC 2 Type I audit and ISO 27001 roadmap', 'Build institutional deployment security controls and incident response', 'Support CIO vendor-risk questionnaires and compliance certification']; required skills: ['SOC 2/ISO 27001 and security architecture', 'AWS/GCP cloud infrastructure and GDPR-first design', 'Institutional vendor risk mitigation']; hire timeline: Month 2, scale based on pilot security requirements; assigned to: hiring_priority_2</w:t>
      </w:r>
    </w:p>
    <w:p>
      <w:r>
        <w:rPr>
          <w:color w:val="2563EB"/>
        </w:rPr>
        <w:t xml:space="preserve">• </w:t>
      </w:r>
      <w:r>
        <w:rPr>
          <w:sz w:val="20"/>
        </w:rPr>
        <w:t>title: Technical Cofounder/CTO (if unfilled); responsibilities: ['Product architecture and reviewer AI model performance', 'Technical pilot delivery and infrastructure scaling', 'Accuracy benchmarking and validation study coordination']; required skills: ['AI/ML model validation and academic rigor', 'SaaS architecture and institutional deployment', 'Technical due diligence and security']; hire timeline: Month 1 (if not existing cofounder); assigned to: hiring_priority_1</w:t>
      </w:r>
    </w:p>
    <w:p/>
    <w:p>
      <w:pPr>
        <w:pStyle w:val="Heading2"/>
      </w:pPr>
      <w:r>
        <w:rPr>
          <w:color w:val="10B981"/>
        </w:rPr>
        <w:t>▶ Headcount Plan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w:t>
            </w:r>
          </w:p>
        </w:tc>
        <w:tc>
          <w:tcPr>
            <w:tcW w:type="dxa" w:w="4320"/>
          </w:tcPr>
          <w:p>
            <w:r>
              <w:rPr>
                <w:sz w:val="18"/>
              </w:rPr>
              <w:t>{'count': 5, 'cost': '€280k–€350k (Founder [sunk], PM €55k, Privacy Lead €40k contract→0.5 FTE €25k ramp, Sales Lead €55k, Security Eng 0.5 FTE €35k, plus 15% benefits/overhead)'}</w:t>
            </w:r>
          </w:p>
        </w:tc>
      </w:tr>
      <w:tr>
        <w:tc>
          <w:tcPr>
            <w:tcW w:type="dxa" w:w="4320"/>
          </w:tcPr>
          <w:p>
            <w:r>
              <w:rPr>
                <w:b/>
                <w:sz w:val="18"/>
              </w:rPr>
              <w:t>Year 2</w:t>
            </w:r>
          </w:p>
        </w:tc>
        <w:tc>
          <w:tcPr>
            <w:tcW w:type="dxa" w:w="4320"/>
          </w:tcPr>
          <w:p>
            <w:r>
              <w:rPr>
                <w:sz w:val="18"/>
              </w:rPr>
              <w:t>{'count': 9, 'cost': '€580k–€720k (Founder, PM, Privacy Lead 0.75 FTE, Sales Lead, Sales Dev [new], Security Eng 0.75 FTE, Support/CS [new], Reviewer Ops [new], Analyst [new])'}</w:t>
            </w:r>
          </w:p>
        </w:tc>
      </w:tr>
      <w:tr>
        <w:tc>
          <w:tcPr>
            <w:tcW w:type="dxa" w:w="4320"/>
          </w:tcPr>
          <w:p>
            <w:r>
              <w:rPr>
                <w:b/>
                <w:sz w:val="18"/>
              </w:rPr>
              <w:t>Year 3</w:t>
            </w:r>
          </w:p>
        </w:tc>
        <w:tc>
          <w:tcPr>
            <w:tcW w:type="dxa" w:w="4320"/>
          </w:tcPr>
          <w:p>
            <w:r>
              <w:rPr>
                <w:sz w:val="18"/>
              </w:rPr>
              <w:t>{'count': 14, 'cost': '€950k–€1.2M (add Product, Sales Manager, Marketing, Finance, expanded CS and support; tied to revenue milestones €1M+ ARR)'}</w:t>
            </w:r>
          </w:p>
        </w:tc>
      </w:tr>
    </w:tbl>
    <w:p/>
    <w:p>
      <w:pPr>
        <w:pStyle w:val="Heading2"/>
      </w:pPr>
      <w:r>
        <w:rPr>
          <w:color w:val="10B981"/>
        </w:rPr>
        <w:t>▶ Org Structure</w:t>
      </w:r>
    </w:p>
    <w:p>
      <w:pPr>
        <w:shd w:fill="f9fafb"/>
      </w:pPr>
      <w:r>
        <w:rPr>
          <w:sz w:val="20"/>
        </w:rPr>
        <w:t>Founder-led (Y1). Product &amp; Pilots (PM + Compliance). Sales &amp; Institutional (Sales Lead + Privacy). Engineering &amp; Security (CTO + Sec Eng). By Y2: add Sales Dev, CS, Ops roles. Flat matrix until €1M ARR, then functional leads by Y3.</w:t>
      </w:r>
    </w:p>
    <w:p/>
    <w:p>
      <w:pPr>
        <w:pStyle w:val="Heading2"/>
      </w:pPr>
      <w:r>
        <w:rPr>
          <w:color w:val="10B981"/>
        </w:rPr>
        <w:t>▶ Personnel Policy</w:t>
      </w:r>
    </w:p>
    <w:p>
      <w:pPr>
        <w:shd w:fill="f9fafb"/>
      </w:pPr>
      <w:r>
        <w:rPr>
          <w:sz w:val="20"/>
        </w:rPr>
        <w:t>Hiring tied to pilot validation gates: PM/Sales/Privacy Month 1–3 (pre-pilot); Security/Ops Month 2–4 (pilot prep); CS/Sales Dev Month 5–6 (post-pilot revenue). Compensation: market €50k–€65k salary + 0.5–1% equity (post-seed). Remote-first EU, visa sponsorship for talent. 20-day PTO + 5 mental health days.</w:t>
      </w:r>
    </w:p>
    <w:p/>
    <w:p>
      <w:pPr>
        <w:pStyle w:val="Heading2"/>
      </w:pPr>
      <w:r>
        <w:rPr>
          <w:color w:val="10B981"/>
        </w:rPr>
        <w:t>▶ Knowledge Gaps</w:t>
      </w:r>
    </w:p>
    <w:p>
      <w:r>
        <w:rPr>
          <w:color w:val="2563EB"/>
        </w:rPr>
        <w:t xml:space="preserve">• </w:t>
      </w:r>
      <w:r>
        <w:rPr>
          <w:sz w:val="20"/>
        </w:rPr>
        <w:t>Higher-ed SaaS compliance playbook (GDPR + AI Act integration): no template precedent for research-integrity AI in EU schools</w:t>
      </w:r>
    </w:p>
    <w:p>
      <w:r>
        <w:rPr>
          <w:color w:val="2563EB"/>
        </w:rPr>
        <w:t xml:space="preserve">• </w:t>
      </w:r>
      <w:r>
        <w:rPr>
          <w:sz w:val="20"/>
        </w:rPr>
        <w:t>Accurate reviewer AI model benchmarking: lack of published inter-rater reliability standards for peer-review automation</w:t>
      </w:r>
    </w:p>
    <w:p>
      <w:r>
        <w:rPr>
          <w:color w:val="2563EB"/>
        </w:rPr>
        <w:t xml:space="preserve">• </w:t>
      </w:r>
      <w:r>
        <w:rPr>
          <w:sz w:val="20"/>
        </w:rPr>
        <w:t>Institutional procurement decision timeline: unclear whether 6-month sales cycle realistic given budget cycles and stakeholder alignment</w:t>
      </w:r>
    </w:p>
    <w:p>
      <w:r>
        <w:rPr>
          <w:color w:val="2563EB"/>
        </w:rPr>
        <w:t xml:space="preserve">• </w:t>
      </w:r>
      <w:r>
        <w:rPr>
          <w:sz w:val="20"/>
        </w:rPr>
        <w:t>Product-market fit threshold: unknown whether ≥40% Month 6 retention sufficient for pilot-to-scale conversion in academic buyers</w:t>
      </w:r>
    </w:p>
    <w:p/>
    <w:p>
      <w:pPr>
        <w:pStyle w:val="Heading2"/>
      </w:pPr>
      <w:r>
        <w:t>💡 Key Assumptions</w:t>
      </w:r>
    </w:p>
    <w:p>
      <w:r>
        <w:rPr>
          <w:color w:val="10B981"/>
        </w:rPr>
        <w:t xml:space="preserve">▸ </w:t>
      </w:r>
      <w:r>
        <w:rPr>
          <w:sz w:val="20"/>
        </w:rPr>
        <w:t>EU higher-ed market (Spain, France, Germany, NL) will support €15k–€50k annual SaaS pricing for research-integrity AI platform</w:t>
      </w:r>
    </w:p>
    <w:p>
      <w:r>
        <w:rPr>
          <w:i/>
          <w:color w:val="6B7280"/>
          <w:sz w:val="16"/>
        </w:rPr>
        <w:t xml:space="preserve">      confidence: medium | source: Market research interviews (n=1 confirmed)</w:t>
      </w:r>
    </w:p>
    <w:p>
      <w:r>
        <w:rPr>
          <w:color w:val="10B981"/>
        </w:rPr>
        <w:t xml:space="preserve">▸ </w:t>
      </w:r>
      <w:r>
        <w:rPr>
          <w:sz w:val="20"/>
        </w:rPr>
        <w:t>Fleiss' kappa ≥0.65 achievable vs. senior reviewers for accuracy benchmark by Month 6</w:t>
      </w:r>
    </w:p>
    <w:p>
      <w:r>
        <w:rPr>
          <w:i/>
          <w:color w:val="6B7280"/>
          <w:sz w:val="16"/>
        </w:rPr>
        <w:t xml:space="preserve">      confidence: low | source: Academic AI/ML standards (Cohen's kappa &gt;0.6 typical for peer-review consensus)</w:t>
      </w:r>
    </w:p>
    <w:p>
      <w:r>
        <w:rPr>
          <w:color w:val="10B981"/>
        </w:rPr>
        <w:t xml:space="preserve">▸ </w:t>
      </w:r>
      <w:r>
        <w:rPr>
          <w:sz w:val="20"/>
        </w:rPr>
        <w:t>2–3 pilot schools will adopt product within 4–5 months if MVP hits accuracy and UX gates</w:t>
      </w:r>
    </w:p>
    <w:p>
      <w:r>
        <w:rPr>
          <w:i/>
          <w:color w:val="6B7280"/>
          <w:sz w:val="16"/>
        </w:rPr>
        <w:t xml:space="preserve">      confidence: medium | source: B2B SaaS pilot best practices</w:t>
      </w:r>
    </w:p>
    <w:p>
      <w:r>
        <w:rPr>
          <w:color w:val="10B981"/>
        </w:rPr>
        <w:t xml:space="preserve">▸ </w:t>
      </w:r>
      <w:r>
        <w:rPr>
          <w:sz w:val="20"/>
        </w:rPr>
        <w:t>3-persona buying sequence (Dean→CIO→Procurement) is correct order for institutional SaaS deals</w:t>
      </w:r>
    </w:p>
    <w:p>
      <w:r>
        <w:rPr>
          <w:i/>
          <w:color w:val="6B7280"/>
          <w:sz w:val="16"/>
        </w:rPr>
        <w:t xml:space="preserve">      confidence: medium | source: Higher-ed SaaS sales playbooks (Gartner, Forrester case studies)</w:t>
      </w:r>
    </w:p>
    <w:p>
      <w:r>
        <w:rPr>
          <w:color w:val="10B981"/>
        </w:rPr>
        <w:t xml:space="preserve">▸ </w:t>
      </w:r>
      <w:r>
        <w:rPr>
          <w:sz w:val="20"/>
        </w:rPr>
        <w:t>€25k–€40k sufficient for SOC 2 Type I audit + ISO 27001 roadmap in Year 1</w:t>
      </w:r>
    </w:p>
    <w:p>
      <w:r>
        <w:rPr>
          <w:i/>
          <w:color w:val="6B7280"/>
          <w:sz w:val="16"/>
        </w:rPr>
        <w:t xml:space="preserve">      confidence: medium | source: SaaS compliance cost benchmarks</w:t>
      </w:r>
    </w:p>
    <w:p>
      <w:r>
        <w:rPr>
          <w:color w:val="10B981"/>
        </w:rPr>
        <w:t xml:space="preserve">▸ </w:t>
      </w:r>
      <w:r>
        <w:rPr>
          <w:sz w:val="20"/>
        </w:rPr>
        <w:t>0.5 FTE security engineer + contract privacy counsel sufficient for institutional deployment compliance</w:t>
      </w:r>
    </w:p>
    <w:p>
      <w:r>
        <w:rPr>
          <w:i/>
          <w:color w:val="6B7280"/>
          <w:sz w:val="16"/>
        </w:rPr>
        <w:t xml:space="preserve">      confidence: low | source: B2B SaaS compliance staffing models</w:t>
      </w:r>
    </w:p>
    <w:p/>
    <w:p>
      <w:pPr>
        <w:pStyle w:val="Heading2"/>
      </w:pPr>
      <w:r>
        <w:t>⚠️  Uncertainties</w:t>
      </w:r>
    </w:p>
    <w:p>
      <w:pPr>
        <w:shd w:fill="fefce8"/>
      </w:pPr>
      <w:r>
        <w:rPr>
          <w:i/>
          <w:color w:val="F59E0B"/>
          <w:sz w:val="20"/>
        </w:rPr>
        <w:t>• Buyer willingness to pay (WTP) threshold and procurement decision cycle length: 10+ buyer interviews needed to validate €15k–€50k range and 6-month sales cycle assumption</w:t>
      </w:r>
    </w:p>
    <w:p>
      <w:pPr>
        <w:shd w:fill="fefce8"/>
      </w:pPr>
      <w:r>
        <w:rPr>
          <w:i/>
          <w:color w:val="F59E0B"/>
          <w:sz w:val="20"/>
        </w:rPr>
        <w:t>• Product accuracy benchmark feasibility: unknown if Fleiss' kappa ≥0.65 achievable; journal partnership and senior-reviewer panel required by Month 4 to validate or descope</w:t>
      </w:r>
    </w:p>
    <w:p>
      <w:pPr>
        <w:shd w:fill="fefce8"/>
      </w:pPr>
      <w:r>
        <w:rPr>
          <w:i/>
          <w:color w:val="F59E0B"/>
          <w:sz w:val="20"/>
        </w:rPr>
        <w:t>• Institutional security certification lift: unknown whether pilot schools require SOC 2 Type II (not just Type I) or ISO 27001 full certification; CIO questionnaire responses Month 3–4 will clarify</w:t>
      </w:r>
    </w:p>
    <w:p>
      <w:pPr>
        <w:shd w:fill="fefce8"/>
      </w:pPr>
      <w:r>
        <w:rPr>
          <w:i/>
          <w:color w:val="F59E0B"/>
          <w:sz w:val="20"/>
        </w:rPr>
        <w:t>• Regulatory classification risk: EU AI Act Annex III high-risk trigger possible if system influences research funding/hiring decisions; legal assessment needed Month 1 to assess compliance burden and timeline impact</w:t>
      </w:r>
    </w:p>
    <w:p/>
    <w:p>
      <w:pPr>
        <w:pStyle w:val="Heading2"/>
      </w:pPr>
      <w:r>
        <w:t>🚨 Unresolved Challenges</w:t>
      </w:r>
    </w:p>
    <w:p>
      <w:pPr>
        <w:shd w:fill="fef2f2"/>
      </w:pP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r>
        <w:br w:type="page"/>
      </w:r>
    </w:p>
    <w:p>
      <w:pPr>
        <w:pStyle w:val="Heading1"/>
      </w:pPr>
      <w:r>
        <w:rPr>
          <w:color w:val="2563EB"/>
        </w:rPr>
        <w:t>⚖️ 5. SWOT Synthesis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Swot Matrix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Strengths</w:t>
            </w:r>
          </w:p>
        </w:tc>
        <w:tc>
          <w:tcPr>
            <w:tcW w:type="dxa" w:w="4320"/>
          </w:tcPr>
          <w:p>
            <w:r>
              <w:rPr>
                <w:sz w:val="18"/>
              </w:rPr>
              <w:t>[{'id': 'S1', 'statement': 'Institutional audit-trail white space: no incumbent provides workflow-integrated, inter-rater-reliable epistemic validation with audit logs at institutional scale — the gap is real at that layer, not at bare capability level', 'because': "GPT-4/Claude/Gemini perform claim-evidence evaluation ad hoc at zero marginal cost to researchers, but provide no audit trails, no workflow integration, no inter-rater reliability scoring, and no institutional governance hooks — EpistemicOS's defensible niche is the institutional layer, not the capability itself", 'confidence': 'low', 'caveat': 'White space confirmed only by function-mapping against Turnitin/Grammarly/ScholarOne plus LLM tools. No market research conducted. Niche validity depends on institutions valuing audit-trail governance over free LLM substitutes — unconfirmed.'}, {'id': 'S2_RECLASSIFIED', 'statement': '[RECLASSIFIED TO OPPORTUNITY] Accreditation cycle framing is a market-development hypothesis, not a current strength — see Opportunities', 'because': 'ANECA/AACSB/EQUIS standards assess research output quantity and journal ranking tier, not pre-submission inferential validity. No standard language references manuscript quality processes. Demand trigger requires EpistemicOS to create the interpretive frame, making this a sales education problem, not a structural pull.', 'confidence': 'high', 'caveat': 'If specific ANECA/AACSB/EQUIS standard language citing manuscript quality processes is located, this may be reinstated as a strength. Currently no such citation exists.'}, {'id': 'S3_CONDITIONAL', 'statement': '[CONDITIONAL — SUSPENDED PENDING CLASSIFICATION] EU AI Act compliance framing is suspended as a strength until risk classification is confirmed. If confirmed limited-risk or minimal-risk, risk-mitigation budget framing becomes viable. If high-risk, this becomes a Threat.', 'because': 'EU AI Act high-risk classification would impose conformity assessments, technical documentation, human oversight mechanisms, and EU database registration on EpistemicOS before deployment — an unbudgeted cost that is a potential kill condition, not a selling point. Classification is UNCONFIRMED.', 'confidence': 'high', 'caveat': 'Kill condition: if high-risk classification confirmed, S3 converts to T-new and regulatory framing strategy must be abandoned. No financial projections should assume EU institutional sales until classification is resolved.'}, {'id': 'S4', 'statement': "Institutional willingness-to-pay for manuscript-layer tools is evidenced by Turnitin's market penetration: 15,000+ institutional contracts documented at acquisition (Advance Publications 2014 announcement), not ARR extrapolation", 'because': "Advance Publications' 2014 acquisition announcement referenced Turnitin's global institutional footprint. Contract count, not ARR, is the documentable proxy. Demonstrates budget line exists for manuscript QA tooling — but purchase driver (plagiarism liability) differs materially from EpistemicOS's value proposition.", 'confidence': 'low', 'caveat': 'Turnitin analog is structurally limited: plagiarism creates legal/accreditation liability; weak inferential validity creates reputational discomfort only. Purchase motivation is categorically different. Analog proves budget category exists, not purchase urgency equivalence.'}]</w:t>
            </w:r>
          </w:p>
        </w:tc>
      </w:tr>
      <w:tr>
        <w:tc>
          <w:tcPr>
            <w:tcW w:type="dxa" w:w="4320"/>
          </w:tcPr>
          <w:p>
            <w:r>
              <w:rPr>
                <w:b/>
                <w:sz w:val="18"/>
              </w:rPr>
              <w:t>Weaknesses</w:t>
            </w:r>
          </w:p>
        </w:tc>
        <w:tc>
          <w:tcPr>
            <w:tcW w:type="dxa" w:w="4320"/>
          </w:tcPr>
          <w:p>
            <w:r>
              <w:rPr>
                <w:sz w:val="18"/>
              </w:rPr>
              <w:t>[{'id': 'W1', 'statement': 'Zero external validation: no buyer interviews, no WTP evidence, no pilot data, no inter-rater accuracy studies — every buyer persona is ASSUMPTION status', 'because': 'CEO-provided data explicitly flags interviews_conducted as no_data with gap=true; approved_decision notes zero external validation exists', 'confidence': 'high', 'caveat': 'None — documented fact, not inference'}, {'id': 'W2', 'statement': 'No working artifact exists. Stage labeled MVP in some contexts is contradicted by absence of any deployable product, pilot deployment, or usage evidence. CONSEQUENCE: all Year 1 revenue figures in this plan are speculative by construction, not by market uncertainty.', 'because': 'CEO-confirmed contradiction. Critically: every financial projection, pricing assumption, and go-to-market timeline in the broader plan is built on a non-existent product. Year 1 revenue figures must be reframed as scenario modeling under explicit no-artifact assumption or deferred until artifact exists.', 'confidence': 'high', 'caveat': 'Cross-reference required: any reader acting on Year 1 projections must be informed these are pre-artifact scenarios, not forecasts. Go-to-market section is premature as written.'}, {'id': 'W3', 'statement': 'Split budget authority in Spain/EU public institutions: research deans control academic policy but not IT/software budgets, creating multi-stakeholder procurement with 9–18 month cycles', 'because': "Spain's public universities operate under Ministerio de Universidades funding caps; software procurement requires IT and/or procurement committee co-sign. Private schools (IE, IESE, ESADE) may have shorter cycles — segment distinction is material to pipeline planning.", 'confidence': 'medium', 'caveat': 'Private vs. public institution procurement cycle difference not yet quantified. Assumption based on general public sector procurement norms, not institution-specific research.'}, {'id': 'W4', 'statement': 'EU AI Act risk classification unresolved: high-risk classification triggers 6–12 month compliance build, unbudgeted costs, and blocks EU institutional sales — this is a potential kill condition for the EU go-to-market strategy', 'because': 'EU AI Act Chapter V high-risk criteria may apply if outputs influence acceptance decisions. Legal determination incomplete. High-risk would require conformity assessment, technical documentation, human oversight, and EU database registration before deployment.', 'confidence': 'medium', 'caveat': 'Advisory-only framing (not decisional) may yield general-purpose classification. Framing choice has material legal and commercial timeline consequences. Requires legal opinion before EU sales planning.'}, {'id': 'W5', 'statement': 'No existing budget line for manuscript readiness in any documented institution — requires budget creation, not reallocation. Unlike Turnitin, no liability trigger creates non-discretionary spend pressure.', 'because': 'Turnitin succeeded because non-purchase created documented institutional legal/accreditation risk. EpistemicOS has no equivalent liability mechanism — retraction risk and reputational discomfort are insufficient substitutes for legal exposure as purchase triggers. Budget creation sales cycles are materially longer.', 'confidence': 'high', 'caveat': 'If a genuine liability mechanism is identified (e.g., grant fraud implications, accreditor documentation requirements with enforcement teeth, retraction-linked funding clawbacks), this weakness can be partially mitigated.'}, {'id': 'W6', 'statement': 'LLM substitution risk at researcher level is unaddressed: GPT-4/Claude/Gemini already perform claim-evidence evaluation at zero cost, meaning individual researchers have no adoption incentive — institutional mandate is the only viable adoption path', 'because': 'Researchers with free LLM access face no pain requiring EpistemicOS at the individual level. Adoption requires top-down institutional mandate, which in turn requires institutions to value audit-trail governance over free alternatives — an unvalidated assumption.', 'confidence': 'high', 'caveat': 'None — logical consequence of LLM capability parity at the bare function level'}]</w:t>
            </w:r>
          </w:p>
        </w:tc>
      </w:tr>
      <w:tr>
        <w:tc>
          <w:tcPr>
            <w:tcW w:type="dxa" w:w="4320"/>
          </w:tcPr>
          <w:p>
            <w:r>
              <w:rPr>
                <w:b/>
                <w:sz w:val="18"/>
              </w:rPr>
              <w:t>Opportunities</w:t>
            </w:r>
          </w:p>
        </w:tc>
        <w:tc>
          <w:tcPr>
            <w:tcW w:type="dxa" w:w="4320"/>
          </w:tcPr>
          <w:p>
            <w:r>
              <w:rPr>
                <w:sz w:val="18"/>
              </w:rPr>
              <w:t>[{'id': 'O1', 'statement': 'Accreditation cycle market development: if ANECA/AACSB/EQUIS can be engaged to reference manuscript quality processes in standards language, demand becomes structural. Currently requires EpistemicOS to create the interpretive frame — a 2–4 year standards influence play.', 'because': "S2 reclassified here. Accreditation bodies do update standards; early engagement with AACSB's Continuous Improvement Review process could embed manuscript governance language. Long-cycle opportunity, not near-term revenue.", 'confidence': 'low', 'caveat': 'Standards influence requires sustained lobbying/partnership effort with no guaranteed outcome. Should not be in Year 1-2 revenue assumptions.'}, {'id': 'O2', 'statement': 'EU AI Act limited-risk confirmation as competitive moat: if classification confirmed limited-risk, early compliance certification differentiates EpistemicOS from non-compliant LLM substitutes in institutional procurement', 'because': 'Institutions increasingly require AI tool compliance documentation. A certified-compliant specialized tool beats a free but legally ambiguous general LLM in institutional procurement — IF classification is favorable.', 'confidence': 'low', 'caveat': 'Entirely contingent on classification outcome. Do not build go-to-market around this until legal opinion obtained.'}, {'id': 'O3', 'statement': "Grant integrity and research fraud prevention framing: if EpistemicOS output can be linked to grant compliance documentation (EU Horizon, national agencies), a liability-adjacent purchase trigger may exist — closer to Turnitin's mechanism than current framing", 'because': 'Research misconduct findings can trigger grant clawbacks and institutional sanctions. If EpistemicOS generates defensible audit records of pre-submission quality review, institutions may purchase for documented due diligence against misconduct liability.', 'confidence': 'low', 'caveat': 'Requires legal mapping of grant agency misconduct rules to manuscript validity. Unresearched. Promising but speculative.'}]</w:t>
            </w:r>
          </w:p>
        </w:tc>
      </w:tr>
      <w:tr>
        <w:tc>
          <w:tcPr>
            <w:tcW w:type="dxa" w:w="4320"/>
          </w:tcPr>
          <w:p>
            <w:r>
              <w:rPr>
                <w:b/>
                <w:sz w:val="18"/>
              </w:rPr>
              <w:t>Threats</w:t>
            </w:r>
          </w:p>
        </w:tc>
        <w:tc>
          <w:tcPr>
            <w:tcW w:type="dxa" w:w="4320"/>
          </w:tcPr>
          <w:p>
            <w:r>
              <w:rPr>
                <w:sz w:val="18"/>
              </w:rPr>
              <w:t>[{'id': 'T1', 'statement': 'EU AI Act high-risk classification: would impose conformity assessment, technical documentation, human oversight, and EU database registration before any EU deployment — unbudgeted, 6–12 month delay, potential market-entry kill condition', 'because': "If manuscript validation outputs are deemed to materially influence access to education or professional outcomes, high-risk classification applies. This converts S3's regulatory framing from asset to liability and invalidates EU go-to-market timeline.", 'confidence': 'medium', 'caveat': 'Advisory-only positioning may avoid this. Legal opinion required before EU sales investment.'}, {'id': 'T2', 'statement': "LLM commoditization: GPT-4/Claude/Gemini perform core claim-evidence evaluation at zero marginal cost today — if institutions build internal LLM workflows with logging, EpistemicOS's institutional-layer value proposition erodes", 'because': 'Large institutions (IE, IESE, ESADE) have technical staff capable of building GPT-4 API-based manuscript review workflows with audit logging at infrastructure cost only. Switching barrier is low if EpistemicOS has no proprietary model or unique methodology.', 'confidence': 'high', 'caveat': 'Proprietary inter-rater reliability methodology or domain-specific fine-tuning could create defensible differentiation — currently neither exists per product stage evidence.'}, {'id': 'T3', 'statement': 'No liability trigger means purchase is perpetually deferrable: without legal/accreditation exposure equivalent to plagiarism liability, institutional procurement committees can always deprioritize manuscript validity tooling in budget cycles', 'because': 'Academic institutions prioritize non-discretionary compliance spend. Without a mandate or liability mechanism, EpistemicOS competes against all discretionary innovation spend — a much harder budget conversation with longer deferral risk.', 'confidence': 'high', 'caveat': 'Grant integrity framing (O3) is the most promising path to creating a liability-adjacent trigger. Should be explored before finalizing go-to-market.'}]</w:t>
            </w:r>
          </w:p>
        </w:tc>
      </w:tr>
    </w:tbl>
    <w:p/>
    <w:p>
      <w:pPr>
        <w:pStyle w:val="Heading2"/>
      </w:pPr>
      <w:r>
        <w:rPr>
          <w:color w:val="10B981"/>
        </w:rPr>
        <w:t>▶ Strategic Implications</w:t>
      </w:r>
    </w:p>
    <w:p>
      <w:pPr>
        <w:shd w:fill="f9fafb"/>
      </w:pPr>
      <w:r>
        <w:rPr>
          <w:sz w:val="20"/>
        </w:rPr>
        <w:t>EpistemicOS has a defensible institutional-layer niche only if it delivers audit-trail governance that free LLMs cannot replicate at scale. The entire go-to-market strategy depends on resolving three kill conditions before committing resources: (1) EU AI Act risk classification — determines whether EU sales are viable or blocked; (2) product artifact creation — Year 1 revenue figures are scenario modeling, not forecasts, until a deployable artifact exists; (3) liability trigger identification — without a mechanism creating non-discretionary institutional spend, sales cycles will be long and deferral risk is high. Accreditation framing is a multi-year market development play, not a near-term demand trigger. Grant integrity framing is the strongest candidate for a Turnitin-comparable liability mechanism and should be researched immediately.</w:t>
      </w:r>
    </w:p>
    <w:p/>
    <w:p>
      <w:pPr>
        <w:pStyle w:val="Heading2"/>
      </w:pPr>
      <w:r>
        <w:rPr>
          <w:color w:val="10B981"/>
        </w:rPr>
        <w:t>▶ Priority Issues</w:t>
      </w:r>
    </w:p>
    <w:p>
      <w:r>
        <w:rPr>
          <w:color w:val="2563EB"/>
        </w:rPr>
        <w:t xml:space="preserve">• </w:t>
      </w:r>
      <w:r>
        <w:rPr>
          <w:sz w:val="20"/>
        </w:rPr>
        <w:t>KILL CONDITION 1: Obtain legal opinion on EU AI Act risk classification before any EU institutional sales investment. High-risk = market-entry blocked until compliance build complete.</w:t>
      </w:r>
    </w:p>
    <w:p>
      <w:r>
        <w:rPr>
          <w:color w:val="2563EB"/>
        </w:rPr>
        <w:t xml:space="preserve">• </w:t>
      </w:r>
      <w:r>
        <w:rPr>
          <w:sz w:val="20"/>
        </w:rPr>
        <w:t>KILL CONDITION 2: No working artifact exists. All Year 1 financial projections must be labeled pre-artifact scenario modeling. Go-to-market execution is premature until artifact is built and piloted.</w:t>
      </w:r>
    </w:p>
    <w:p>
      <w:r>
        <w:rPr>
          <w:color w:val="2563EB"/>
        </w:rPr>
        <w:t xml:space="preserve">• </w:t>
      </w:r>
      <w:r>
        <w:rPr>
          <w:sz w:val="20"/>
        </w:rPr>
        <w:t>KILL CONDITION 3: No liability trigger identified. Without non-discretionary spend pressure, institutional sales cycles are indefinitely deferrable. Grant integrity framing must be legally mapped as priority research.</w:t>
      </w:r>
    </w:p>
    <w:p>
      <w:r>
        <w:rPr>
          <w:color w:val="2563EB"/>
        </w:rPr>
        <w:t xml:space="preserve">• </w:t>
      </w:r>
      <w:r>
        <w:rPr>
          <w:sz w:val="20"/>
        </w:rPr>
        <w:t>LLM substitution threat is high-confidence and unaddressed: value proposition must be anchored to institutional audit-trail and governance layer exclusively, not bare claim-evidence evaluation capability.</w:t>
      </w:r>
    </w:p>
    <w:p>
      <w:r>
        <w:rPr>
          <w:color w:val="2563EB"/>
        </w:rPr>
        <w:t xml:space="preserve">• </w:t>
      </w:r>
      <w:r>
        <w:rPr>
          <w:sz w:val="20"/>
        </w:rPr>
        <w:t>Turnitin ARR analog retired: $20M ARR figure was unsourced. Contract-count proxy used instead. Analog is structurally limited by categorically different purchase motivation.</w:t>
      </w:r>
    </w:p>
    <w:p>
      <w:r>
        <w:rPr>
          <w:color w:val="2563EB"/>
        </w:rPr>
        <w:t xml:space="preserve">• </w:t>
      </w:r>
      <w:r>
        <w:rPr>
          <w:sz w:val="20"/>
        </w:rPr>
        <w:t>S2 reclassified from Strength to Opportunity: accreditation demand trigger requires market development, not demand capture. No ANECA/AACSB/EQUIS standard language references pre-submission manuscript quality.</w:t>
      </w:r>
    </w:p>
    <w:p/>
    <w:p>
      <w:pPr>
        <w:pStyle w:val="Heading2"/>
      </w:pPr>
      <w:r>
        <w:t>💡 Key Assumptions</w:t>
      </w:r>
    </w:p>
    <w:p>
      <w:r>
        <w:rPr>
          <w:color w:val="10B981"/>
        </w:rPr>
        <w:t xml:space="preserve">▸ </w:t>
      </w:r>
      <w:r>
        <w:rPr>
          <w:sz w:val="20"/>
        </w:rPr>
        <w:t>Advance Publications 2014 acquisition announcement referenced Turnitin's institutional footprint — contract count used as proxy, not ARR</w:t>
      </w:r>
    </w:p>
    <w:p>
      <w:r>
        <w:rPr>
          <w:color w:val="10B981"/>
        </w:rPr>
        <w:t xml:space="preserve">▸ </w:t>
      </w:r>
      <w:r>
        <w:rPr>
          <w:sz w:val="20"/>
        </w:rPr>
        <w:t>ANECA/AACSB/EQUIS standards assessed as output-quantity and journal-ranking focused based on publicly available accreditation frameworks; no manuscript quality process language located</w:t>
      </w:r>
    </w:p>
    <w:p>
      <w:r>
        <w:rPr>
          <w:color w:val="10B981"/>
        </w:rPr>
        <w:t xml:space="preserve">▸ </w:t>
      </w:r>
      <w:r>
        <w:rPr>
          <w:sz w:val="20"/>
        </w:rPr>
        <w:t>EU AI Act Chapter V high-risk criteria applied by analogy to educational outcome influence — formal legal opinion not obtained</w:t>
      </w:r>
    </w:p>
    <w:p>
      <w:r>
        <w:rPr>
          <w:color w:val="10B981"/>
        </w:rPr>
        <w:t xml:space="preserve">▸ </w:t>
      </w:r>
      <w:r>
        <w:rPr>
          <w:sz w:val="20"/>
        </w:rPr>
        <w:t>LLM tools (GPT-4, Claude, Gemini) assessed as performing bare claim-evidence evaluation at zero marginal cost based on documented capabilities as of 2024</w:t>
      </w:r>
    </w:p>
    <w:p>
      <w:r>
        <w:rPr>
          <w:color w:val="10B981"/>
        </w:rPr>
        <w:t xml:space="preserve">▸ </w:t>
      </w:r>
      <w:r>
        <w:rPr>
          <w:sz w:val="20"/>
        </w:rPr>
        <w:t>Spain public university procurement cycles estimated at 9–18 months based on general public sector norms, not institution-specific research</w:t>
      </w:r>
    </w:p>
    <w:p/>
    <w:p>
      <w:pPr>
        <w:pStyle w:val="Heading2"/>
      </w:pPr>
      <w:r>
        <w:t>⚠️  Uncertainties</w:t>
      </w:r>
    </w:p>
    <w:p>
      <w:pPr>
        <w:shd w:fill="fefce8"/>
      </w:pPr>
      <w:r>
        <w:rPr>
          <w:i/>
          <w:color w:val="F59E0B"/>
          <w:sz w:val="20"/>
        </w:rPr>
        <w:t>• EU AI Act risk classification for EpistemicOS: limited-risk vs. high-risk determination is unresolved and material to entire EU strategy</w:t>
      </w:r>
    </w:p>
    <w:p>
      <w:pPr>
        <w:shd w:fill="fefce8"/>
      </w:pPr>
      <w:r>
        <w:rPr>
          <w:i/>
          <w:color w:val="F59E0B"/>
          <w:sz w:val="20"/>
        </w:rPr>
        <w:t>• Whether any institution currently maps or could be persuaded to map manuscript quality tooling to accreditation compliance documentation</w:t>
      </w:r>
    </w:p>
    <w:p>
      <w:pPr>
        <w:shd w:fill="fefce8"/>
      </w:pPr>
      <w:r>
        <w:rPr>
          <w:i/>
          <w:color w:val="F59E0B"/>
          <w:sz w:val="20"/>
        </w:rPr>
        <w:t>• Whether grant agency misconduct rules create a documentable liability trigger linkable to pre-submission manuscript review</w:t>
      </w:r>
    </w:p>
    <w:p>
      <w:pPr>
        <w:shd w:fill="fefce8"/>
      </w:pPr>
      <w:r>
        <w:rPr>
          <w:i/>
          <w:color w:val="F59E0B"/>
          <w:sz w:val="20"/>
        </w:rPr>
        <w:t>• Whether proprietary methodology or fine-tuned models can create defensible differentiation from institutional LLM workflow substitutes</w:t>
      </w:r>
    </w:p>
    <w:p>
      <w:pPr>
        <w:shd w:fill="fefce8"/>
      </w:pPr>
      <w:r>
        <w:rPr>
          <w:i/>
          <w:color w:val="F59E0B"/>
          <w:sz w:val="20"/>
        </w:rPr>
        <w:t>• Actual procurement cycle length at private Spanish business schools vs. public universities — no institution-specific data obtained</w:t>
      </w:r>
    </w:p>
    <w:p>
      <w:pPr>
        <w:shd w:fill="fefce8"/>
      </w:pPr>
      <w:r>
        <w:rPr>
          <w:i/>
          <w:color w:val="F59E0B"/>
          <w:sz w:val="20"/>
        </w:rPr>
        <w:t>• Whether advisory-only framing is sufficient to avoid EU AI Act high-risk classification or whether decisional inference is inherent to the product</w:t>
      </w:r>
    </w:p>
    <w:p/>
    <w:p>
      <w:pPr>
        <w:pStyle w:val="Heading2"/>
      </w:pPr>
      <w:r>
        <w:t>🚨 Unresolved Challenges</w:t>
      </w:r>
    </w:p>
    <w:p>
      <w:pPr>
        <w:shd w:fill="fef2f2"/>
      </w:pP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r>
        <w:br w:type="page"/>
      </w:r>
    </w:p>
    <w:p>
      <w:pPr>
        <w:pStyle w:val="Heading1"/>
      </w:pPr>
      <w:r>
        <w:rPr>
          <w:color w:val="2563EB"/>
        </w:rPr>
        <w:t>💻 6.5. Tech Stack &amp; Data Privacy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Infrastructure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Architecture</w:t>
            </w:r>
          </w:p>
        </w:tc>
        <w:tc>
          <w:tcPr>
            <w:tcW w:type="dxa" w:w="4320"/>
          </w:tcPr>
          <w:p>
            <w:r>
              <w:rPr>
                <w:sz w:val="18"/>
              </w:rPr>
              <w:t>EU-residency-first SaaS (Spain/Germany cloud region) with cross-border data subject isolation</w:t>
            </w:r>
          </w:p>
        </w:tc>
      </w:tr>
      <w:tr>
        <w:tc>
          <w:tcPr>
            <w:tcW w:type="dxa" w:w="4320"/>
          </w:tcPr>
          <w:p>
            <w:r>
              <w:rPr>
                <w:b/>
                <w:sz w:val="18"/>
              </w:rPr>
              <w:t>Components</w:t>
            </w:r>
          </w:p>
        </w:tc>
        <w:tc>
          <w:tcPr>
            <w:tcW w:type="dxa" w:w="4320"/>
          </w:tcPr>
          <w:p>
            <w:r>
              <w:rPr>
                <w:sz w:val="18"/>
              </w:rPr>
              <w:t>[{'component': 'API Gateway + Load Balancer', 'provider': 'AWS EU (Frankfurt) or Scaleway', 'monthly_cost_eur': 800, 'justification': 'Multi-AZ HA for institutional uptime SLA; GDPR Article 32 (encryption in transit); geofencing rules enforce EU traffic only by default'}, {'component': 'Application Servers (containerized)', 'provider': 'ECS/EKS (EU region locked)', 'capacity_math': 'Max Year 1 load: 150 seats × 5 users = 750 concurrent. 3× t3.medium instances (€0.04/hr = ~€864/month compute) + managed EKS premium (€73/month) + data transfer (€300/month estimated) = €1,237/month. Sized at 2x peak for headroom.', 'monthly_cost_eur': 1237, 'justification': 'Decomposed: per-instance cost × instances + managed service + egress. Oversizing avoided; scales to 500 users on 4-6 instances by Year 2'}, {'component': 'PostgreSQL Database (managed)', 'provider': 'AWS RDS (EU, with audit logging enabled)', 'monthly_cost_eur': 1200, 'justification': 'GDPR Article 32 encryption at rest + in transit; automated backup 30-day retention; immutable audit logging for Article 33 incident response; row-level security for manuscript isolation'}, {'component': 'Data Transfer &amp; Cross-Border SCC Review', 'provider': 'Legal + compliance infrastructure (one-time €8k amortized; recurring €200/month)', 'monthly_cost_eur': 200, 'justification': 'Standard Contractual Clauses pre-negotiated for US/India data flows. Customer-specific DPA negotiation (€2-5k per enterprise deal) treated as sales cost, not recurring tech cost. Manuscript metadata = author names, affiliations, timestamps, reviewer IDs (PII); content stays EU-resident. Non-PII fields (word count, keywords) may cross borders under data minimization.'}, {'component': 'CDN for Static Assets', 'provider': 'Bunny CDN (EU nodes with geofencing)', 'monthly_cost_eur': 350, 'justification': 'EU-only node selection enforced via API; geofencing monitoring included. Customer validation needed: is EU-only required or preference? If preference, hybrid model (EU default + opt-in US/Asia) may reduce cost to €180/month.'}, {'component': 'Backup &amp; Disaster Recovery', 'provider': 'Cross-AZ snapshots + external EU immutable backup', 'monthly_cost_eur': 300, 'justification': 'GDPR Article 32(1)(c) recoverability; immutable snapshots prevent ransomware. Insider threat detection (different concern) handled separately under SIEM.'}, {'component': 'Monitoring &amp; Logging (SIEM-lite for incident detection)', 'provider': 'Grafana Cloud (EU region) + alert rules', 'monthly_cost_eur': 450, 'justification': 'GDPR Article 33 incident detection: unauthorized access, failed auth, privilege escalation. Managed SIEM chosen over self-hosted ELK (eliminates DevOps staffing gap in Year 1). 90-day retention, 72-hour breach notification workflow included.'}, {'component': 'Insider Threat Detection &amp; Audit Logging', 'provider': 'Database audit triggers + Grafana alerting (bundled above)', 'monthly_cost_eur': 0, 'justification': 'Included in SIEM cost. Detects database modifications via audit logs; does NOT prevent deletion (only alerts + recovery via backups).'}, {'component': 'VPN / Institutional Access Control + SSO', 'provider': 'Okta EU with MFA enforcement + session logging', 'monthly_cost_eur': 600, 'justification': 'University SSO integration (required for institutional procurement); GDPR Article 28 processor accountability audit trail; MFA + session logging included'}, {'component': 'Data Subject Rights Request Workflow', 'provider': 'Custom module (right of access, erasure, portability, objection)', 'monthly_cost_eur': 400, 'operational_detail': "Erasure scope defined: (a) Post-publication erasure blocked unless legal hold expires. (b) Reviewer comments pseudonymized post-deletion (replaced with '[deleted reviewer]'). (c) Author affiliations retained for audit trail. (d) Exceptions adjudicated by compliance officer; manual cost (~€200/exception, amortized into support budget). (e) No cascading deletion of related manuscripts—only researcher's personal data erased.", 'justification': 'GDPR Articles 12-22 compliance; automated workflow for low-friction requests; manual exception handling via support team'}]</w:t>
            </w:r>
          </w:p>
        </w:tc>
      </w:tr>
      <w:tr>
        <w:tc>
          <w:tcPr>
            <w:tcW w:type="dxa" w:w="4320"/>
          </w:tcPr>
          <w:p>
            <w:r>
              <w:rPr>
                <w:b/>
                <w:sz w:val="18"/>
              </w:rPr>
              <w:t>Total Monthly Eur</w:t>
            </w:r>
          </w:p>
        </w:tc>
        <w:tc>
          <w:tcPr>
            <w:tcW w:type="dxa" w:w="4320"/>
          </w:tcPr>
          <w:p>
            <w:r>
              <w:rPr>
                <w:sz w:val="18"/>
              </w:rPr>
              <w:t>5637</w:t>
            </w:r>
          </w:p>
        </w:tc>
      </w:tr>
      <w:tr>
        <w:tc>
          <w:tcPr>
            <w:tcW w:type="dxa" w:w="4320"/>
          </w:tcPr>
          <w:p>
            <w:r>
              <w:rPr>
                <w:b/>
                <w:sz w:val="18"/>
              </w:rPr>
              <w:t>Total Annual Eur</w:t>
            </w:r>
          </w:p>
        </w:tc>
        <w:tc>
          <w:tcPr>
            <w:tcW w:type="dxa" w:w="4320"/>
          </w:tcPr>
          <w:p>
            <w:r>
              <w:rPr>
                <w:sz w:val="18"/>
              </w:rPr>
              <w:t>67644</w:t>
            </w:r>
          </w:p>
        </w:tc>
      </w:tr>
      <w:tr>
        <w:tc>
          <w:tcPr>
            <w:tcW w:type="dxa" w:w="4320"/>
          </w:tcPr>
          <w:p>
            <w:r>
              <w:rPr>
                <w:b/>
                <w:sz w:val="18"/>
              </w:rPr>
              <w:t>Rationale Summary</w:t>
            </w:r>
          </w:p>
        </w:tc>
        <w:tc>
          <w:tcPr>
            <w:tcW w:type="dxa" w:w="4320"/>
          </w:tcPr>
          <w:p>
            <w:r>
              <w:rPr>
                <w:sz w:val="18"/>
              </w:rPr>
              <w:t>EU residency required for Year 1 Spain market entry. Infrastructure cost premium ~25% vs. US-default SaaS (due to managed services + compliance tooling) justified by elimination of transfer friction and enabling enterprise contracts. Legal review (SCCs/DPA templates) is upfront cost (~€8k one-time), not recurring. Sized for 150 institutional seats × 5 concurrent users; scales 2x by Year 2 with ~€800/month incremental cost.</w:t>
            </w:r>
          </w:p>
        </w:tc>
      </w:tr>
    </w:tbl>
    <w:p/>
    <w:p>
      <w:pPr>
        <w:pStyle w:val="Heading2"/>
      </w:pPr>
      <w:r>
        <w:rPr>
          <w:color w:val="10B981"/>
        </w:rPr>
        <w:t>▶ Ai Ml Stack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Core Model And Legal Basis</w:t>
            </w:r>
          </w:p>
        </w:tc>
        <w:tc>
          <w:tcPr>
            <w:tcW w:type="dxa" w:w="4320"/>
          </w:tcPr>
          <w:p>
            <w:r>
              <w:rPr>
                <w:sz w:val="18"/>
              </w:rPr>
              <w:t>{'type': 'Fine-tuned LLM (GPT-4 or open-source Llama-2 70B) with GDPR Article 6 legal basis documented', 'provider_option_1': 'OpenAI API (EU region, Ireland DPA)', 'provider_option_2': 'Self-hosted Llama-2/Mistral (on EU infrastructure)', 'monthly_cost_option_1_eur': 2800, 'monthly_cost_option_2_eur': 1400, 'justification_option_1': 'OpenAI EU pricing + token usage for 150 seats (est. 500k tokens/month for peer review summaries, revision suggestions). DPA with OpenAI covers manuscript data classification. Cost includes API calls + fine-tuning credit.'}</w:t>
            </w:r>
          </w:p>
        </w:tc>
      </w:tr>
      <w:tr>
        <w:tc>
          <w:tcPr>
            <w:tcW w:type="dxa" w:w="4320"/>
          </w:tcPr>
          <w:p>
            <w:r>
              <w:rPr>
                <w:b/>
                <w:sz w:val="18"/>
              </w:rPr>
              <w:t>Content Validation And Liability</w:t>
            </w:r>
          </w:p>
        </w:tc>
        <w:tc>
          <w:tcPr>
            <w:tcW w:type="dxa" w:w="4320"/>
          </w:tcPr>
          <w:p>
            <w:r>
              <w:rPr>
                <w:sz w:val="18"/>
              </w:rPr>
              <w:t>{'policy': 'Researchers must confirm manuscripts do NOT contain Special Category Data (health, biometric, genetic) per GDPR Article 9. EpistemicOS does NOT scan content; ToS explicitly excludes protected health info and genetic data. Researcher liable for violations.', 'enforcement': 'Checkbox attestation at upload; legal review of ToS by counsel (one-time €3k). Cost to handle violations: support escalation + potential data deletion (manual, ~€500/incident).', 'monthly_cost_eur': 100, 'justification': 'Support cost for content policy violations (amortized; ~1-2 incidents/month expected in Year 1 at 150 seats)'}</w:t>
            </w:r>
          </w:p>
        </w:tc>
      </w:tr>
    </w:tbl>
    <w:p/>
    <w:p>
      <w:pPr>
        <w:pStyle w:val="Heading2"/>
      </w:pPr>
      <w:r>
        <w:rPr>
          <w:color w:val="10B981"/>
        </w:rPr>
        <w:t>▶ Database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w:t>
            </w:r>
          </w:p>
        </w:tc>
        <w:tc>
          <w:tcPr>
            <w:tcW w:type="dxa" w:w="4320"/>
          </w:tcPr>
          <w:p>
            <w:r>
              <w:rPr>
                <w:sz w:val="18"/>
              </w:rPr>
              <w:t>PostgreSQL (AWS RDS, EU, managed)</w:t>
            </w:r>
          </w:p>
        </w:tc>
      </w:tr>
      <w:tr>
        <w:tc>
          <w:tcPr>
            <w:tcW w:type="dxa" w:w="4320"/>
          </w:tcPr>
          <w:p>
            <w:r>
              <w:rPr>
                <w:b/>
                <w:sz w:val="18"/>
              </w:rPr>
              <w:t>Row Level Security</w:t>
            </w:r>
          </w:p>
        </w:tc>
        <w:tc>
          <w:tcPr>
            <w:tcW w:type="dxa" w:w="4320"/>
          </w:tcPr>
          <w:p>
            <w:r>
              <w:rPr>
                <w:sz w:val="18"/>
              </w:rPr>
              <w:t>Manuscript-level isolation enforced via RLS policies; researcher_id + manuscript_id partitioning</w:t>
            </w:r>
          </w:p>
        </w:tc>
      </w:tr>
      <w:tr>
        <w:tc>
          <w:tcPr>
            <w:tcW w:type="dxa" w:w="4320"/>
          </w:tcPr>
          <w:p>
            <w:r>
              <w:rPr>
                <w:b/>
                <w:sz w:val="18"/>
              </w:rPr>
              <w:t>Audit Trail</w:t>
            </w:r>
          </w:p>
        </w:tc>
        <w:tc>
          <w:tcPr>
            <w:tcW w:type="dxa" w:w="4320"/>
          </w:tcPr>
          <w:p>
            <w:r>
              <w:rPr>
                <w:sz w:val="18"/>
              </w:rPr>
              <w:t>Immutable audit logs for all data modifications (GDPR Article 33); 90-day retention minimum</w:t>
            </w:r>
          </w:p>
        </w:tc>
      </w:tr>
      <w:tr>
        <w:tc>
          <w:tcPr>
            <w:tcW w:type="dxa" w:w="4320"/>
          </w:tcPr>
          <w:p>
            <w:r>
              <w:rPr>
                <w:b/>
                <w:sz w:val="18"/>
              </w:rPr>
              <w:t>Backup Strategy</w:t>
            </w:r>
          </w:p>
        </w:tc>
        <w:tc>
          <w:tcPr>
            <w:tcW w:type="dxa" w:w="4320"/>
          </w:tcPr>
          <w:p>
            <w:r>
              <w:rPr>
                <w:sz w:val="18"/>
              </w:rPr>
              <w:t>Daily snapshots (30-day retention) + weekly external immutable backup (EU backup provider); RTO 4 hours, RPO 1 hour</w:t>
            </w:r>
          </w:p>
        </w:tc>
      </w:tr>
    </w:tbl>
    <w:p/>
    <w:p>
      <w:pPr>
        <w:pStyle w:val="Heading2"/>
      </w:pPr>
      <w:r>
        <w:rPr>
          <w:color w:val="10B981"/>
        </w:rPr>
        <w:t>▶ Third Party Apis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Components</w:t>
            </w:r>
          </w:p>
        </w:tc>
        <w:tc>
          <w:tcPr>
            <w:tcW w:type="dxa" w:w="4320"/>
          </w:tcPr>
          <w:p>
            <w:r>
              <w:rPr>
                <w:sz w:val="18"/>
              </w:rPr>
              <w:t>[{'service': 'University SSO (Shibboleth, SAML)', 'compliance_notes': 'No additional cost; institution-hosted. EpistemicOS implements SAML receiver.'}, {'service': 'OpenAI or HuggingFace APIs', 'cost_covered_in': 'ai_ml_stack section'}, {'service': 'Email delivery (SendGrid EU region)', 'monthly_cost_eur': 50, 'justification': 'Data subject request confirmations, institutional notifications. GDPR Article 32 encryption in transit.'}]</w:t>
            </w:r>
          </w:p>
        </w:tc>
      </w:tr>
    </w:tbl>
    <w:p/>
    <w:p>
      <w:pPr>
        <w:pStyle w:val="Heading2"/>
      </w:pPr>
      <w:r>
        <w:rPr>
          <w:color w:val="10B981"/>
        </w:rPr>
        <w:t>▶ Authentication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Okta EU + SAML/OIDC + MFA mandatory</w:t>
            </w:r>
          </w:p>
        </w:tc>
      </w:tr>
      <w:tr>
        <w:tc>
          <w:tcPr>
            <w:tcW w:type="dxa" w:w="4320"/>
          </w:tcPr>
          <w:p>
            <w:r>
              <w:rPr>
                <w:b/>
                <w:sz w:val="18"/>
              </w:rPr>
              <w:t>Session Logging</w:t>
            </w:r>
          </w:p>
        </w:tc>
        <w:tc>
          <w:tcPr>
            <w:tcW w:type="dxa" w:w="4320"/>
          </w:tcPr>
          <w:p>
            <w:r>
              <w:rPr>
                <w:sz w:val="18"/>
              </w:rPr>
              <w:t>All login/logout events logged to Grafana for audit trail (GDPR Article 28)</w:t>
            </w:r>
          </w:p>
        </w:tc>
      </w:tr>
      <w:tr>
        <w:tc>
          <w:tcPr>
            <w:tcW w:type="dxa" w:w="4320"/>
          </w:tcPr>
          <w:p>
            <w:r>
              <w:rPr>
                <w:b/>
                <w:sz w:val="18"/>
              </w:rPr>
              <w:t>Password Policy</w:t>
            </w:r>
          </w:p>
        </w:tc>
        <w:tc>
          <w:tcPr>
            <w:tcW w:type="dxa" w:w="4320"/>
          </w:tcPr>
          <w:p>
            <w:r>
              <w:rPr>
                <w:sz w:val="18"/>
              </w:rPr>
              <w:t>Institutional SSO replaces local passwords; no credential storage on EpistemicOS</w:t>
            </w:r>
          </w:p>
        </w:tc>
      </w:tr>
    </w:tbl>
    <w:p/>
    <w:p>
      <w:pPr>
        <w:pStyle w:val="Heading2"/>
      </w:pPr>
      <w:r>
        <w:rPr>
          <w:color w:val="10B981"/>
        </w:rPr>
        <w:t>▶ Data Privacy Compliance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Gdpr Article 6 Basis</w:t>
            </w:r>
          </w:p>
        </w:tc>
        <w:tc>
          <w:tcPr>
            <w:tcW w:type="dxa" w:w="4320"/>
          </w:tcPr>
          <w:p>
            <w:r>
              <w:rPr>
                <w:sz w:val="18"/>
              </w:rPr>
              <w:t>Legitimate interest (institutional research); explicit consent for non-EU data subjects (researchers, reviewers)</w:t>
            </w:r>
          </w:p>
        </w:tc>
      </w:tr>
      <w:tr>
        <w:tc>
          <w:tcPr>
            <w:tcW w:type="dxa" w:w="4320"/>
          </w:tcPr>
          <w:p>
            <w:r>
              <w:rPr>
                <w:b/>
                <w:sz w:val="18"/>
              </w:rPr>
              <w:t>Article 9 Special Categories</w:t>
            </w:r>
          </w:p>
        </w:tc>
        <w:tc>
          <w:tcPr>
            <w:tcW w:type="dxa" w:w="4320"/>
          </w:tcPr>
          <w:p>
            <w:r>
              <w:rPr>
                <w:sz w:val="18"/>
              </w:rPr>
              <w:t>Researcher attestation required at upload; EpistemicOS does NOT scan content. Liability on researcher per ToS. If violation detected (via user report), data deleted within 24 hours + incident logged.</w:t>
            </w:r>
          </w:p>
        </w:tc>
      </w:tr>
      <w:tr>
        <w:tc>
          <w:tcPr>
            <w:tcW w:type="dxa" w:w="4320"/>
          </w:tcPr>
          <w:p>
            <w:r>
              <w:rPr>
                <w:b/>
                <w:sz w:val="18"/>
              </w:rPr>
              <w:t>Article 28 Dpa</w:t>
            </w:r>
          </w:p>
        </w:tc>
        <w:tc>
          <w:tcPr>
            <w:tcW w:type="dxa" w:w="4320"/>
          </w:tcPr>
          <w:p>
            <w:r>
              <w:rPr>
                <w:sz w:val="18"/>
              </w:rPr>
              <w:t>Pre-negotiated template (one-time legal cost €8k); customer-specific negotiation (~€2-5k per enterprise, treated as sales cost). Covers processor liability, sub-processor approvals, data subject rights procedures.</w:t>
            </w:r>
          </w:p>
        </w:tc>
      </w:tr>
      <w:tr>
        <w:tc>
          <w:tcPr>
            <w:tcW w:type="dxa" w:w="4320"/>
          </w:tcPr>
          <w:p>
            <w:r>
              <w:rPr>
                <w:b/>
                <w:sz w:val="18"/>
              </w:rPr>
              <w:t>Article 33 Breach Notification</w:t>
            </w:r>
          </w:p>
        </w:tc>
        <w:tc>
          <w:tcPr>
            <w:tcW w:type="dxa" w:w="4320"/>
          </w:tcPr>
          <w:p>
            <w:r>
              <w:rPr>
                <w:sz w:val="18"/>
              </w:rPr>
              <w:t>Grafana alerts trigger on unauthorized access/privilege escalation. Compliance officer reviews within 24 hours; notification to supervisory authority within 72 hours if breach confirmed. Workflow includes evidence capture (audit logs), impact assessment, affected data subjects list.</w:t>
            </w:r>
          </w:p>
        </w:tc>
      </w:tr>
      <w:tr>
        <w:tc>
          <w:tcPr>
            <w:tcW w:type="dxa" w:w="4320"/>
          </w:tcPr>
          <w:p>
            <w:r>
              <w:rPr>
                <w:b/>
                <w:sz w:val="18"/>
              </w:rPr>
              <w:t>Article 44 International Transfers</w:t>
            </w:r>
          </w:p>
        </w:tc>
        <w:tc>
          <w:tcPr>
            <w:tcW w:type="dxa" w:w="4320"/>
          </w:tcPr>
          <w:p>
            <w:r>
              <w:rPr>
                <w:sz w:val="18"/>
              </w:rPr>
              <w:t>Manuscript metadata (author names, affiliations, timestamps) covered by SCCs for US/India data subjects. Customer-specific DPA addendum required if reviewer/author is outside EU/EEA.</w:t>
            </w:r>
          </w:p>
        </w:tc>
      </w:tr>
      <w:tr>
        <w:tc>
          <w:tcPr>
            <w:tcW w:type="dxa" w:w="4320"/>
          </w:tcPr>
          <w:p>
            <w:r>
              <w:rPr>
                <w:b/>
                <w:sz w:val="18"/>
              </w:rPr>
              <w:t>Data Subject Rights Process</w:t>
            </w:r>
          </w:p>
        </w:tc>
        <w:tc>
          <w:tcPr>
            <w:tcW w:type="dxa" w:w="4320"/>
          </w:tcPr>
          <w:p>
            <w:r>
              <w:rPr>
                <w:sz w:val="18"/>
              </w:rPr>
              <w:t>Automated portability (export in JSON/CSV); erasure (pseudonymization of author identity post-deletion, retention of review audit trail); objection (opt-out flag). Manual review for edge cases (co-author conflicts, publication hold-backs). Estimated 5-10 requests/month Year 1; support cost ~€100/month amortized.</w:t>
            </w:r>
          </w:p>
        </w:tc>
      </w:tr>
      <w:tr>
        <w:tc>
          <w:tcPr>
            <w:tcW w:type="dxa" w:w="4320"/>
          </w:tcPr>
          <w:p>
            <w:r>
              <w:rPr>
                <w:b/>
                <w:sz w:val="18"/>
              </w:rPr>
              <w:t>Privacy Impact Assessment</w:t>
            </w:r>
          </w:p>
        </w:tc>
        <w:tc>
          <w:tcPr>
            <w:tcW w:type="dxa" w:w="4320"/>
          </w:tcPr>
          <w:p>
            <w:r>
              <w:rPr>
                <w:sz w:val="18"/>
              </w:rPr>
              <w:t>DPIA conducted for manuscript storage (data processing at scale), AI model training (if fine-tuning uses customer data), cross-border transfers. Re-assessment required at major feature launch (e.g., multi-institutional collaboration). One-time cost €5k; annual review €2k.</w:t>
            </w:r>
          </w:p>
        </w:tc>
      </w:tr>
    </w:tbl>
    <w:p/>
    <w:p>
      <w:pPr>
        <w:pStyle w:val="Heading2"/>
      </w:pPr>
      <w:r>
        <w:rPr>
          <w:color w:val="10B981"/>
        </w:rPr>
        <w:t>▶ Total Tech Cost Monthly</w:t>
      </w:r>
    </w:p>
    <w:p>
      <w:pPr>
        <w:shd w:fill="f9fafb"/>
      </w:pPr>
      <w:r>
        <w:rPr>
          <w:sz w:val="20"/>
        </w:rPr>
        <w:t>5637</w:t>
      </w:r>
    </w:p>
    <w:p/>
    <w:p>
      <w:pPr>
        <w:pStyle w:val="Heading2"/>
      </w:pPr>
      <w:r>
        <w:rPr>
          <w:color w:val="10B981"/>
        </w:rPr>
        <w:t>▶ Total Tech Cost Annual</w:t>
      </w:r>
    </w:p>
    <w:p>
      <w:pPr>
        <w:shd w:fill="f9fafb"/>
      </w:pPr>
      <w:r>
        <w:rPr>
          <w:sz w:val="20"/>
        </w:rPr>
        <w:t>67644</w:t>
      </w:r>
    </w:p>
    <w:p/>
    <w:p>
      <w:pPr>
        <w:pStyle w:val="Heading2"/>
      </w:pPr>
      <w:r>
        <w:rPr>
          <w:color w:val="10B981"/>
        </w:rPr>
        <w:t>▶ Revenue Floor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Year 1 Opex Breakdown</w:t>
            </w:r>
          </w:p>
        </w:tc>
        <w:tc>
          <w:tcPr>
            <w:tcW w:type="dxa" w:w="4320"/>
          </w:tcPr>
          <w:p>
            <w:r>
              <w:rPr>
                <w:sz w:val="18"/>
              </w:rPr>
              <w:t>{'infrastructure_monitoring': 5637, 'fully_loaded_labor_6_fte_50k_avg': 300000, 'customer_acquisition_legal_dpa': 30000, 'security_compliance_dpia_reviews': 8000, 'total_opex': 343637}</w:t>
            </w:r>
          </w:p>
        </w:tc>
      </w:tr>
      <w:tr>
        <w:tc>
          <w:tcPr>
            <w:tcW w:type="dxa" w:w="4320"/>
          </w:tcPr>
          <w:p>
            <w:r>
              <w:rPr>
                <w:b/>
                <w:sz w:val="18"/>
              </w:rPr>
              <w:t>Implied Pricing Model</w:t>
            </w:r>
          </w:p>
        </w:tc>
        <w:tc>
          <w:tcPr>
            <w:tcW w:type="dxa" w:w="4320"/>
          </w:tcPr>
          <w:p>
            <w:r>
              <w:rPr>
                <w:sz w:val="18"/>
              </w:rPr>
              <w:t>€150/seat/month × 100 institutional seats = €180k annual recurring revenue (Year 1). Does NOT cover opex; business plan requires ~€150k grant funding + €50k founder investment to reach break-even Year 2 (250 seats × €150 × 12 = €450k ARR).</w:t>
            </w:r>
          </w:p>
        </w:tc>
      </w:tr>
      <w:tr>
        <w:tc>
          <w:tcPr>
            <w:tcW w:type="dxa" w:w="4320"/>
          </w:tcPr>
          <w:p>
            <w:r>
              <w:rPr>
                <w:b/>
                <w:sz w:val="18"/>
              </w:rPr>
              <w:t>Customer Acquisition Cost</w:t>
            </w:r>
          </w:p>
        </w:tc>
        <w:tc>
          <w:tcPr>
            <w:tcW w:type="dxa" w:w="4320"/>
          </w:tcPr>
          <w:p>
            <w:r>
              <w:rPr>
                <w:sz w:val="18"/>
              </w:rPr>
              <w:t>Enterprise DPA negotiation adds €2-5k per large customer; sales cycle +2-3 months vs. SMB SaaS. Affects pricing power: may need €200+/seat to justify CAC amortization.</w:t>
            </w:r>
          </w:p>
        </w:tc>
      </w:tr>
    </w:tbl>
    <w:p/>
    <w:p>
      <w:pPr>
        <w:pStyle w:val="Heading2"/>
      </w:pPr>
      <w:r>
        <w:rPr>
          <w:color w:val="10B981"/>
        </w:rPr>
        <w:t>▶ Competitive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Risk</w:t>
            </w:r>
          </w:p>
        </w:tc>
        <w:tc>
          <w:tcPr>
            <w:tcW w:type="dxa" w:w="4320"/>
          </w:tcPr>
          <w:p>
            <w:r>
              <w:rPr>
                <w:sz w:val="18"/>
              </w:rPr>
              <w:t>EU-only CDN + data residency posture is differentiator for GDPR-sensitive customers but liability for global research teams. Competitors (Overleaf, Figshare) offer global CDN + EU-compliant regions; no latency penalty.</w:t>
            </w:r>
          </w:p>
        </w:tc>
      </w:tr>
      <w:tr>
        <w:tc>
          <w:tcPr>
            <w:tcW w:type="dxa" w:w="4320"/>
          </w:tcPr>
          <w:p>
            <w:r>
              <w:rPr>
                <w:b/>
                <w:sz w:val="18"/>
              </w:rPr>
              <w:t>Mitigation</w:t>
            </w:r>
          </w:p>
        </w:tc>
        <w:tc>
          <w:tcPr>
            <w:tcW w:type="dxa" w:w="4320"/>
          </w:tcPr>
          <w:p>
            <w:r>
              <w:rPr>
                <w:sz w:val="18"/>
              </w:rPr>
              <w:t>Year 1 Q2 customer validation: survey 10 pilot customers on EU-only requirement vs. preference. If preference (&lt;50% hard requirement), shift to hybrid model (EU default, US/Asia opt-in via explicit DPA consent) and reduce CDN cost to €180/month.</w:t>
            </w:r>
          </w:p>
        </w:tc>
      </w:tr>
    </w:tbl>
    <w:p/>
    <w:p>
      <w:pPr>
        <w:pStyle w:val="Heading2"/>
      </w:pPr>
      <w:r>
        <w:rPr>
          <w:color w:val="10B981"/>
        </w:rPr>
        <w:t>▶ Tech Risk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Critical Risks</w:t>
            </w:r>
          </w:p>
        </w:tc>
        <w:tc>
          <w:tcPr>
            <w:tcW w:type="dxa" w:w="4320"/>
          </w:tcPr>
          <w:p>
            <w:r>
              <w:rPr>
                <w:sz w:val="18"/>
              </w:rPr>
              <w:t>[{'risk': 'Self-hosted SIEM (ELK) complexity avoided (good). But Grafana managed SIEM is new vendor dependency; vendor SLA downtime = loss of breach detection capability for 72-hour window.', 'mitigation': 'Require Grafana 99.5% SLA in contract; implement fallback alert via native PostgreSQL triggers to email (low-tech backup).'}, {'risk': "Data subject erasure workflow assumes researcher deletion doesn't break audit trails. In practice, co-author disputes (who owns deletion right?) may paralyze requests. Manual adjudication cost underestimated.", 'mitigation': 'Document conflict resolution policy (e.g., majority co-author vote required for post-publication erasure). Legal review required before Year 1 launch; cost €3k.'}, {'risk': 'Content validation (no scanning for Special Category Data) creates researcher liability but also EpistemicOS liability if ToS is deemed inadequate. Regulatory interpretation varies by jurisdiction.', 'mitigation': 'Publish Privacy Policy + ToS explicitly stating researcher responsibility. Annual audit by external counsel (€5k Year 1). Consider opt-in content scanning service (AI-based detection, €300/month) as future upsell for high-risk customers (health/pharma).'}, {'risk': 'Cross-border data transfer regime (US/India reviewers) assumed manageable via SCCs. But Schrems II invalidation risk (EU court may reject SCCs in some contexts). Transfer feasibility subject to legal uncertainty.', 'mitigation': 'Implement tiered access control: US/India reviewers see de-identified manuscript metadata only (no author names); full identifiers stay EU. Requires schema redesign; cost €8k engineering.'}, {'risk': 'Insider threat detection via audit logs only detects, not prevents. A database admin can delete rows and logs (with sufficient privilege). Detection latency = 24 hours (Grafana review window).', 'mitigation': 'Implement immutable audit log streaming (append-only S3 bucket, separate AWS account) for separation of duties. Cost €200/month additional.'}]</w:t>
            </w:r>
          </w:p>
        </w:tc>
      </w:tr>
    </w:tbl>
    <w:p/>
    <w:p>
      <w:pPr>
        <w:pStyle w:val="Heading2"/>
      </w:pPr>
      <w:r>
        <w:rPr>
          <w:color w:val="10B981"/>
        </w:rPr>
        <w:t>▶ Confidence Rationale</w:t>
      </w:r>
    </w:p>
    <w:p>
      <w:pPr>
        <w:shd w:fill="f9fafb"/>
      </w:pPr>
      <w:r>
        <w:rPr>
          <w:sz w:val="20"/>
        </w:rPr>
        <w:t>Infrastructure costs decomposed and capacity-planned (increases confidence to 0.75+). However, critical uncertainties remain: (1) DPA negotiation cost amortization assumes customer volume not yet validated (−0.10); (2) Special Category Data liability model lacks legal review (−0.08); (3) Cross-border transfer regime post-Schrems II uncertain (−0.07); (4) Insider threat detection / audit logging separation concerns (−0.05); (5) Data subject rights conflict resolution process not operationalized (−0.03). Recommend legal audit + customer validation before proceeding to Year 1 launch; confidence improves to 0.85 post-review.</w:t>
      </w:r>
    </w:p>
    <w:p/>
    <w:p>
      <w:pPr>
        <w:pStyle w:val="Heading2"/>
      </w:pPr>
      <w:r>
        <w:t>💡 Key Assumptions</w:t>
      </w:r>
    </w:p>
    <w:p>
      <w:r>
        <w:rPr>
          <w:color w:val="10B981"/>
        </w:rPr>
        <w:t xml:space="preserve">▸ </w:t>
      </w:r>
      <w:r>
        <w:rPr>
          <w:sz w:val="20"/>
        </w:rPr>
        <w:t>150 institutional seats × 5 concurrent users = 750 peak load Year 1 (conservative; may be 1/3 this in Q1)</w:t>
      </w:r>
    </w:p>
    <w:p>
      <w:r>
        <w:rPr>
          <w:color w:val="10B981"/>
        </w:rPr>
        <w:t xml:space="preserve">▸ </w:t>
      </w:r>
      <w:r>
        <w:rPr>
          <w:sz w:val="20"/>
        </w:rPr>
        <w:t>Enterprise customer DPA negotiation is one-time upfront cost, not recurring infrastructure cost</w:t>
      </w:r>
    </w:p>
    <w:p>
      <w:r>
        <w:rPr>
          <w:color w:val="10B981"/>
        </w:rPr>
        <w:t xml:space="preserve">▸ </w:t>
      </w:r>
      <w:r>
        <w:rPr>
          <w:sz w:val="20"/>
        </w:rPr>
        <w:t>Manuscript metadata = author names, affiliations, timestamps; content stays EU-resident</w:t>
      </w:r>
    </w:p>
    <w:p>
      <w:r>
        <w:rPr>
          <w:color w:val="10B981"/>
        </w:rPr>
        <w:t xml:space="preserve">▸ </w:t>
      </w:r>
      <w:r>
        <w:rPr>
          <w:sz w:val="20"/>
        </w:rPr>
        <w:t>EU-only CDN geofencing is customer requirement (not validated; should be confirmed Q1)</w:t>
      </w:r>
    </w:p>
    <w:p>
      <w:r>
        <w:rPr>
          <w:color w:val="10B981"/>
        </w:rPr>
        <w:t xml:space="preserve">▸ </w:t>
      </w:r>
      <w:r>
        <w:rPr>
          <w:sz w:val="20"/>
        </w:rPr>
        <w:t>Researcher liability for Special Category Data upload (via ToS attestation) is legally sufficient; no active content scanning required Year 1</w:t>
      </w:r>
    </w:p>
    <w:p>
      <w:r>
        <w:rPr>
          <w:color w:val="10B981"/>
        </w:rPr>
        <w:t xml:space="preserve">▸ </w:t>
      </w:r>
      <w:r>
        <w:rPr>
          <w:sz w:val="20"/>
        </w:rPr>
        <w:t>OpenAI API (Option 1) chosen over self-hosted Llama-2; decision deferred to product roadmap</w:t>
      </w:r>
    </w:p>
    <w:p>
      <w:r>
        <w:rPr>
          <w:color w:val="10B981"/>
        </w:rPr>
        <w:t xml:space="preserve">▸ </w:t>
      </w:r>
      <w:r>
        <w:rPr>
          <w:sz w:val="20"/>
        </w:rPr>
        <w:t>GDPR + CCPA compliance sufficient; DPDP (India) compliance cost deferred pending market clarification</w:t>
      </w:r>
    </w:p>
    <w:p>
      <w:r>
        <w:rPr>
          <w:color w:val="10B981"/>
        </w:rPr>
        <w:t xml:space="preserve">▸ </w:t>
      </w:r>
      <w:r>
        <w:rPr>
          <w:sz w:val="20"/>
        </w:rPr>
        <w:t>AWS EU Frankfurt or Scaleway selected; other EU providers (OVH, Exoscale) not evaluated</w:t>
      </w:r>
    </w:p>
    <w:p/>
    <w:p>
      <w:pPr>
        <w:pStyle w:val="Heading2"/>
      </w:pPr>
      <w:r>
        <w:t>⚠️  Uncertainties</w:t>
      </w:r>
    </w:p>
    <w:p>
      <w:pPr>
        <w:shd w:fill="fefce8"/>
      </w:pPr>
      <w:r>
        <w:rPr>
          <w:i/>
          <w:color w:val="F59E0B"/>
          <w:sz w:val="20"/>
        </w:rPr>
        <w:t>• issue: Customer validation missing: is EU-only data residency hard requirement or preference? Affects CDN cost (€350 → €180/month if hybrid model accepted).; impact: Medium (€170/month upside if flexibility permitted)</w:t>
      </w:r>
    </w:p>
    <w:p>
      <w:pPr>
        <w:shd w:fill="fefce8"/>
      </w:pPr>
      <w:r>
        <w:rPr>
          <w:i/>
          <w:color w:val="F59E0B"/>
          <w:sz w:val="20"/>
        </w:rPr>
        <w:t>• 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i/>
          <w:color w:val="F59E0B"/>
          <w:sz w:val="20"/>
        </w:rPr>
        <w:t>• 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i/>
          <w:color w:val="F59E0B"/>
          <w:sz w:val="20"/>
        </w:rPr>
        <w:t>• 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i/>
          <w:color w:val="F59E0B"/>
          <w:sz w:val="20"/>
        </w:rPr>
        <w:t>• 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i/>
          <w:color w:val="F59E0B"/>
          <w:sz w:val="20"/>
        </w:rPr>
        <w:t>• 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i/>
          <w:color w:val="F59E0B"/>
          <w:sz w:val="20"/>
        </w:rPr>
        <w:t>• issue: Grafana managed SIEM SLA dependency: vendor downtime = loss of breach detection for 72-hour notification window. Backup alerting mechanism weak.; impact: Low (but critical-path risk; mitigation cost €0 if native DB triggers sufficient)</w:t>
      </w:r>
    </w:p>
    <w:p>
      <w:pPr>
        <w:shd w:fill="fefce8"/>
      </w:pPr>
      <w:r>
        <w:rPr>
          <w:i/>
          <w:color w:val="F59E0B"/>
          <w:sz w:val="20"/>
        </w:rPr>
        <w:t>• 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
      <w:pPr>
        <w:pStyle w:val="Heading2"/>
      </w:pPr>
      <w:r>
        <w:t>🚨 Unresolved Challenges</w:t>
      </w:r>
    </w:p>
    <w:p>
      <w:pPr>
        <w:shd w:fill="fef2f2"/>
      </w:pP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r>
        <w:br w:type="page"/>
      </w:r>
    </w:p>
    <w:p>
      <w:pPr>
        <w:pStyle w:val="Heading1"/>
      </w:pPr>
      <w:r>
        <w:rPr>
          <w:color w:val="2563EB"/>
        </w:rPr>
        <w:t>📢 8. Marketing Strategy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Target Market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Beachhead Market</w:t>
            </w:r>
          </w:p>
        </w:tc>
        <w:tc>
          <w:tcPr>
            <w:tcW w:type="dxa" w:w="4320"/>
          </w:tcPr>
          <w:p>
            <w:r>
              <w:rPr>
                <w:sz w:val="18"/>
              </w:rPr>
              <w:t>{'geography': 'Spain first, then EU', 'segment': 'Research-active business schools with AACSB/EQUIS/ANECA accreditation', 'because': 'ANECA review cycles (every 6 years) create mandatory research output documentation pressure; AACSB/EQUIS standards require demonstrable research quality governance — both create recurring institutional need for a manuscript-readiness audit layer', 'prospect_count_spain': {'total_accredited_schools': 85, 'research_active_estimate': '20–30', 'source': 'AACSB 2024 global directory; Spain count derived by filtering AACSB+EQUIS listed institutions with documented doctoral programs', 'confidence': 'low — no direct enumeration performed; estimate based on accreditation body public lists'}, 'prospect_count_eu': {'aacsb_eu': '150–180 institutions', 'equis_eu': '~70 institutions', 'overlap': '~40%', 'net_addressable_prospects': '~140–180 unique institutions', 'source': 'AACSB public directory 2024; EFMD EQUIS accredited school list 2024', 'confidence': 'low — overlap ratio is an estimate; not all AACSB/EQUIS schools are research-active at doctoral level'}, 'icp_definition': {'primary_buyer': 'Research Dean or Doctoral Program Director', 'because': 'Controls research quality budget; accountable for accreditation output metrics; motivated by reputational risk of low-quality submissions', 'veto_holder': 'CIO/IT Security plus Data Protection Officer', 'dpia_analysis': {'trigger': 'GDPR Art. 35 DPIA required when processing manuscript data at scale — confirmed sequential dependency, cannot run in parallel with procurement', 'dpia_duration_estimate': '3–6 months additive to procurement cycle for Spanish public universities', 'impact_on_sales_cycle': 'Total cycle for public universities: 12–24 months procurement + 3–6 months DPIA = 15–30 months. SOM model revised upward to 18–24 months base case.', 'impact_on_close_rate': 'DPIA failure or inconclusive finding is a hard stop — estimated 15–25% of public university prospects will stall or reject at DPIA stage based on analogous SaaS deployments in EU higher education', 'mitigation': 'Lead with private schools (IE, ESADE, IESE) exempt from public tender and with lighter DPA review processes; develop standard DPIA documentation pack to reduce DPO review time; consider EU-hosted data residency to reduce DPIA risk surface', 'confidence': 'low — DPIA duration estimate is inferred from analogous cases; no direct empirical data for this product category'}, 'budget_proxy': 'Institutions spending &gt;€15k/yr on Turnitin or iThenticate are the most likely analogous buyers', 'evidence': 'Turnitin institutional pricing €15k–€40k/yr (public pricing benchmarks); iThenticate enterprise ~€25k+ (vendor-published indicative ranges)'}}</w:t>
            </w:r>
          </w:p>
        </w:tc>
      </w:tr>
      <w:tr>
        <w:tc>
          <w:tcPr>
            <w:tcW w:type="dxa" w:w="4320"/>
          </w:tcPr>
          <w:p>
            <w:r>
              <w:rPr>
                <w:b/>
                <w:sz w:val="18"/>
              </w:rPr>
              <w:t>Tam Sam Som</w:t>
            </w:r>
          </w:p>
        </w:tc>
        <w:tc>
          <w:tcPr>
            <w:tcW w:type="dxa" w:w="4320"/>
          </w:tcPr>
          <w:p>
            <w:r>
              <w:rPr>
                <w:sz w:val="18"/>
              </w:rPr>
              <w:t>{'warning': 'TAM/SAM/SOM sections were empty in source document — all figures below are scenario models, not forecasts', 'TAM': {'definition': 'Global research-active business schools (~1,000 AACSB + ~120 EQUIS globally, net ~900 unique)', 'annual_contract_midpoint': '€25k', 'TAM_value': '~€22.5M ARR at full penetration', 'confidence': 'low — assumes all would buy at midpoint price; zero WTP data exists'}, 'SAM': {'definition': 'EU research-active business schools with AACSB/EQUIS accreditation (~140–180 institutions)', 'annual_contract_midpoint': '€25k', 'SAM_value': '€3.5M–€4.5M ARR', 'confidence': 'low'}, 'SOM_year3': {'definition': 'Realistically reachable with 5-person sales team in 36 months: 15–25 paying institutions (revised down from 20–30 to reflect DPIA additive delay)', 'ARR_range': '€375k–€625k', 'because': 'Revised cycle: 18–24 months for public universities (procurement + DPIA sequential); Year 1 = pipeline building + private school pilots; Year 2 = first public closings; Year 3 = renewals + expansion. DPIA attrition estimated at 15–25% of public prospects.', 'confidence': 'low — DPIA attrition rate is inferred, not measured'}}</w:t>
            </w:r>
          </w:p>
        </w:tc>
      </w:tr>
      <w:tr>
        <w:tc>
          <w:tcPr>
            <w:tcW w:type="dxa" w:w="4320"/>
          </w:tcPr>
          <w:p>
            <w:r>
              <w:rPr>
                <w:b/>
                <w:sz w:val="18"/>
              </w:rPr>
              <w:t>Procurement Barrier</w:t>
            </w:r>
          </w:p>
        </w:tc>
        <w:tc>
          <w:tcPr>
            <w:tcW w:type="dxa" w:w="4320"/>
          </w:tcPr>
          <w:p>
            <w:r>
              <w:rPr>
                <w:sz w:val="18"/>
              </w:rPr>
              <w:t>{'rule': 'Spain public universities require licitación (public tender) for contracts &gt;€15k (Ley de Contratos del Sector Público, Art. 118/131)', 'implication': 'Pricing below €15k/yr per school bypasses tender but reduces revenue; pricing above requires 12–24 month procurement cycle plus 3–6 month sequential DPIA review', 'mitigation': 'Target private business schools (IE, ESADE, IESE) in Year 1 — exempt from public tender rules and lighter DPA review; use as reference accounts before entering public university procurement; prepare standard DPIA documentation pack'}</w:t>
            </w:r>
          </w:p>
        </w:tc>
      </w:tr>
    </w:tbl>
    <w:p/>
    <w:p>
      <w:pPr>
        <w:pStyle w:val="Heading2"/>
      </w:pPr>
      <w:r>
        <w:rPr>
          <w:color w:val="10B981"/>
        </w:rPr>
        <w:t>▶ Competitors</w:t>
      </w:r>
    </w:p>
    <w:p>
      <w:r>
        <w:rPr>
          <w:color w:val="2563EB"/>
        </w:rPr>
        <w:t xml:space="preserve">• </w:t>
      </w:r>
      <w:r>
        <w:rPr>
          <w:sz w:val="20"/>
        </w:rPr>
        <w:t>name: Turnitin / iThenticate; category: Plagiarism / text-similarity detection; market position: Dominant institutional incumbent; ~15,000 institutions globally; pricing: €15k–€40k/yr institutional (Turnitin); iThenticate enterprise ~€25k+ (vendor-published indicative ranges); what they do: Detect copied or paraphrased text against corpus; flag AI-generated content (Turnitin AI detector launched 2023); what they dont do: Do not assess whether claims are inferentially supported, methodologically justified, or coherent with cited evidence; threat level: HIGH — revised upward from Medium; roadmap threat analysis: {'acquisition_history': 'Turnitin acquired Gradescope (2018, automated grading), iThenticate (2014, professional plagiarism), Ouriginal (2021, EU plagiarism detection) — pattern shows consistent adjacent-market acquisition strategy', 'ai_expansion_signal': 'Turnitin AI Detector launched 2023; Turnitin acquired Feedback Studio with rubric-based assessment — directional signal toward automated quality evaluation, not just similarity', 'probability_of_feature_overlap_24_36mo': '35–50% — Turnitin has budget, distribution, and stated AI roadmap investment; epistemic/methodological validation is a logical next adjacency given their 2023 AI pivot', 'risk_register_entry': "If Turnitin ships epistemic validation features within 24–36 months, EpistemicOS's primary differentiation collapses for institutions already paying Turnitin. This is a non-trivial probability event and must be treated as a primary existential risk, not a background assumption.", 'mitigation': 'Accelerate depth of epistemic reasoning (claim-evidence coherence, inferential gap detection) beyond what a general-purpose NLP pipeline can replicate quickly; pursue exclusive reference contracts with 2–3 anchor schools before Turnitin roadmap materializes', 'confidence': 'low — roadmap probability estimate is qualitative; Turnitin does not publish product roadmaps publicly'}</w:t>
      </w:r>
    </w:p>
    <w:p>
      <w:r>
        <w:rPr>
          <w:color w:val="2563EB"/>
        </w:rPr>
        <w:t xml:space="preserve">• </w:t>
      </w:r>
      <w:r>
        <w:rPr>
          <w:sz w:val="20"/>
        </w:rPr>
        <w:t>name: GPT-4 / Claude / Gemini (direct LLM use); category: General-purpose AI — zero-cost substitute; market position: Already used ad hoc by researchers for manuscript feedback at zero marginal cost; pricing: €0 marginal cost to researcher; ~€20/mo individual subscription at most; what they do: Provide general writing feedback, surface-level logical review, grammar and style suggestions on demand; what they dont do: Do not provide auditable, institution-level compliance trails; do not integrate with accreditation reporting workflows; do not flag methodological coherence against field-specific standards; threat level: HIGH — zero switching cost; researchers already use these tools; institutional adoption growing; mitigation: EpistemicOS must deliver workflow integration, audit trails, and accreditation-specific reporting that general LLMs cannot provide without significant custom development per institution</w:t>
      </w:r>
    </w:p>
    <w:p/>
    <w:p>
      <w:pPr>
        <w:pStyle w:val="Heading2"/>
      </w:pPr>
      <w:r>
        <w:rPr>
          <w:color w:val="10B981"/>
        </w:rPr>
        <w:t>▶ Competitive Advantages</w:t>
      </w:r>
    </w:p>
    <w:p>
      <w:r>
        <w:rPr>
          <w:color w:val="2563EB"/>
        </w:rPr>
        <w:t xml:space="preserve">• </w:t>
      </w:r>
      <w:r>
        <w:rPr>
          <w:sz w:val="20"/>
        </w:rPr>
        <w:t>EpistemicOS assesses whether stated conclusions are supported by cited evidence and whether methodological choices are justified — a layer no plagiarism or AI-detection tool currently provides</w:t>
      </w:r>
    </w:p>
    <w:p>
      <w:r>
        <w:rPr>
          <w:color w:val="2563EB"/>
        </w:rPr>
        <w:t xml:space="preserve">• </w:t>
      </w:r>
      <w:r>
        <w:rPr>
          <w:sz w:val="20"/>
        </w:rPr>
        <w:t>Structured outputs mapped to AACSB/EQUIS/ANECA reporting requirements; institutional-level dashboards with time-stamped audit logs satisfying GDPR accountability requirements</w:t>
      </w:r>
    </w:p>
    <w:p/>
    <w:p>
      <w:pPr>
        <w:pStyle w:val="Heading2"/>
      </w:pPr>
      <w:r>
        <w:rPr>
          <w:color w:val="10B981"/>
        </w:rPr>
        <w:t>▶ Marketing Mix</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Product</w:t>
            </w:r>
          </w:p>
        </w:tc>
        <w:tc>
          <w:tcPr>
            <w:tcW w:type="dxa" w:w="4320"/>
          </w:tcPr>
          <w:p>
            <w:r>
              <w:rPr>
                <w:sz w:val="18"/>
              </w:rPr>
              <w:t>{'core': 'SaaS manuscript-readiness audit platform: epistemic coherence scoring, methodological gap detection, citation-claim alignment analysis', 'delivery': 'Cloud SaaS with EU data residency (required for GDPR/DPIA risk reduction); API for integration with existing institutional research management systems', 'packaging': 'Per-institution annual license; tiered by submission volume (small: &lt;200 submissions/yr; mid: 200–1000; large: &gt;1000)'}</w:t>
            </w:r>
          </w:p>
        </w:tc>
      </w:tr>
      <w:tr>
        <w:tc>
          <w:tcPr>
            <w:tcW w:type="dxa" w:w="4320"/>
          </w:tcPr>
          <w:p>
            <w:r>
              <w:rPr>
                <w:b/>
                <w:sz w:val="18"/>
              </w:rPr>
              <w:t>Price</w:t>
            </w:r>
          </w:p>
        </w:tc>
        <w:tc>
          <w:tcPr>
            <w:tcW w:type="dxa" w:w="4320"/>
          </w:tcPr>
          <w:p>
            <w:r>
              <w:rPr>
                <w:sz w:val="18"/>
              </w:rPr>
              <w:t>{'model': 'Annual institutional license', 'tier_small': '€12k/yr — below Spanish public tender threshold (€15k); enables faster procurement at smaller schools', 'tier_mid': '€25k/yr — midpoint benchmark aligned with Turnitin institutional pricing', 'tier_large': '€40k+/yr — large research-active schools with high submission volumes', 'rationale': 'Sub-€15k tier deliberately positioned to bypass licitación requirement in Year 1 pipeline; mid/large tiers require accepting 18–24 month sales cycle', 'confidence': 'low — no WTP data collected; pricing based on Turnitin analogy only'}</w:t>
            </w:r>
          </w:p>
        </w:tc>
      </w:tr>
      <w:tr>
        <w:tc>
          <w:tcPr>
            <w:tcW w:type="dxa" w:w="4320"/>
          </w:tcPr>
          <w:p>
            <w:r>
              <w:rPr>
                <w:b/>
                <w:sz w:val="18"/>
              </w:rPr>
              <w:t>Place</w:t>
            </w:r>
          </w:p>
        </w:tc>
        <w:tc>
          <w:tcPr>
            <w:tcW w:type="dxa" w:w="4320"/>
          </w:tcPr>
          <w:p>
            <w:r>
              <w:rPr>
                <w:sz w:val="18"/>
              </w:rPr>
              <w:t>{'primary_channel': 'Direct enterprise sales (5-person team)', 'secondary_channel': 'Accreditation body partnerships (EFMD, AACSB) for co-marketing and warm introductions', 'tertiary_channel': 'Conference presence at EURAM, AOM, EFMD Annual Conference', 'rationale': 'Institutional SaaS at this price point requires direct relationship-based sales; no self-serve path viable at €12k+ ACV'}</w:t>
            </w:r>
          </w:p>
        </w:tc>
      </w:tr>
      <w:tr>
        <w:tc>
          <w:tcPr>
            <w:tcW w:type="dxa" w:w="4320"/>
          </w:tcPr>
          <w:p>
            <w:r>
              <w:rPr>
                <w:b/>
                <w:sz w:val="18"/>
              </w:rPr>
              <w:t>Promotion</w:t>
            </w:r>
          </w:p>
        </w:tc>
        <w:tc>
          <w:tcPr>
            <w:tcW w:type="dxa" w:w="4320"/>
          </w:tcPr>
          <w:p>
            <w:r>
              <w:rPr>
                <w:sz w:val="18"/>
              </w:rPr>
              <w:t>{'primary': 'Research Dean direct outreach via LinkedIn and conference networking; case study content from pilot schools', 'secondary': 'Whitepapers on ANECA/AACSB compliance positioning EpistemicOS as infrastructure, not vendor', 'tertiary': 'Webinars co-hosted with accreditation consultants targeting doctoral program directors', 'content_strategy': 'Publish epistemic audit methodology openly to build credibility; withhold proprietary scoring rubrics'}</w:t>
            </w:r>
          </w:p>
        </w:tc>
      </w:tr>
    </w:tbl>
    <w:p/>
    <w:p>
      <w:pPr>
        <w:pStyle w:val="Heading2"/>
      </w:pPr>
      <w:r>
        <w:rPr>
          <w:color w:val="10B981"/>
        </w:rPr>
        <w:t>▶ Customer Relations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Onboarding</w:t>
            </w:r>
          </w:p>
        </w:tc>
        <w:tc>
          <w:tcPr>
            <w:tcW w:type="dxa" w:w="4320"/>
          </w:tcPr>
          <w:p>
            <w:r>
              <w:rPr>
                <w:sz w:val="18"/>
              </w:rPr>
              <w:t>Dedicated implementation support during DPIA and procurement phases; standard DPIA documentation pack provided to DPO to reduce review time</w:t>
            </w:r>
          </w:p>
        </w:tc>
      </w:tr>
      <w:tr>
        <w:tc>
          <w:tcPr>
            <w:tcW w:type="dxa" w:w="4320"/>
          </w:tcPr>
          <w:p>
            <w:r>
              <w:rPr>
                <w:b/>
                <w:sz w:val="18"/>
              </w:rPr>
              <w:t>Success Model</w:t>
            </w:r>
          </w:p>
        </w:tc>
        <w:tc>
          <w:tcPr>
            <w:tcW w:type="dxa" w:w="4320"/>
          </w:tcPr>
          <w:p>
            <w:r>
              <w:rPr>
                <w:sz w:val="18"/>
              </w:rPr>
              <w:t>Annual accreditation-cycle check-ins aligned to ANECA/AACSB review timelines; quarterly usage reports to Research Dean</w:t>
            </w:r>
          </w:p>
        </w:tc>
      </w:tr>
      <w:tr>
        <w:tc>
          <w:tcPr>
            <w:tcW w:type="dxa" w:w="4320"/>
          </w:tcPr>
          <w:p>
            <w:r>
              <w:rPr>
                <w:b/>
                <w:sz w:val="18"/>
              </w:rPr>
              <w:t>Retention Driver</w:t>
            </w:r>
          </w:p>
        </w:tc>
        <w:tc>
          <w:tcPr>
            <w:tcW w:type="dxa" w:w="4320"/>
          </w:tcPr>
          <w:p>
            <w:r>
              <w:rPr>
                <w:sz w:val="18"/>
              </w:rPr>
              <w:t>Embedded audit trails become institutional records — high switching cost once 2+ accreditation cycles completed</w:t>
            </w:r>
          </w:p>
        </w:tc>
      </w:tr>
      <w:tr>
        <w:tc>
          <w:tcPr>
            <w:tcW w:type="dxa" w:w="4320"/>
          </w:tcPr>
          <w:p>
            <w:r>
              <w:rPr>
                <w:b/>
                <w:sz w:val="18"/>
              </w:rPr>
              <w:t>Support</w:t>
            </w:r>
          </w:p>
        </w:tc>
        <w:tc>
          <w:tcPr>
            <w:tcW w:type="dxa" w:w="4320"/>
          </w:tcPr>
          <w:p>
            <w:r>
              <w:rPr>
                <w:sz w:val="18"/>
              </w:rPr>
              <w:t>Email + CSM for mid/large tiers; email-only for small tier</w:t>
            </w:r>
          </w:p>
        </w:tc>
      </w:tr>
    </w:tbl>
    <w:p/>
    <w:p>
      <w:pPr>
        <w:pStyle w:val="Heading2"/>
      </w:pPr>
      <w:r>
        <w:rPr>
          <w:color w:val="10B981"/>
        </w:rPr>
        <w:t>▶ Revenue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Price Per Unit</w:t>
            </w:r>
          </w:p>
        </w:tc>
        <w:tc>
          <w:tcPr>
            <w:tcW w:type="dxa" w:w="4320"/>
          </w:tcPr>
          <w:p>
            <w:r>
              <w:rPr>
                <w:sz w:val="18"/>
              </w:rPr>
              <w:t>€25,000 blended ACV (mix of small/mid/large tiers)</w:t>
            </w:r>
          </w:p>
        </w:tc>
      </w:tr>
      <w:tr>
        <w:tc>
          <w:tcPr>
            <w:tcW w:type="dxa" w:w="4320"/>
          </w:tcPr>
          <w:p>
            <w:r>
              <w:rPr>
                <w:b/>
                <w:sz w:val="18"/>
              </w:rPr>
              <w:t>Volume Year1</w:t>
            </w:r>
          </w:p>
        </w:tc>
        <w:tc>
          <w:tcPr>
            <w:tcW w:type="dxa" w:w="4320"/>
          </w:tcPr>
          <w:p>
            <w:r>
              <w:rPr>
                <w:sz w:val="18"/>
              </w:rPr>
              <w:t>3</w:t>
            </w:r>
          </w:p>
        </w:tc>
      </w:tr>
      <w:tr>
        <w:tc>
          <w:tcPr>
            <w:tcW w:type="dxa" w:w="4320"/>
          </w:tcPr>
          <w:p>
            <w:r>
              <w:rPr>
                <w:b/>
                <w:sz w:val="18"/>
              </w:rPr>
              <w:t>Volume Year1 Note</w:t>
            </w:r>
          </w:p>
        </w:tc>
        <w:tc>
          <w:tcPr>
            <w:tcW w:type="dxa" w:w="4320"/>
          </w:tcPr>
          <w:p>
            <w:r>
              <w:rPr>
                <w:sz w:val="18"/>
              </w:rPr>
              <w:t>Year 1: 3 private school pilots (IE, ESADE, IESE tier); sub-€15k or pilot pricing; primary goal is reference accounts, not revenue</w:t>
            </w:r>
          </w:p>
        </w:tc>
      </w:tr>
      <w:tr>
        <w:tc>
          <w:tcPr>
            <w:tcW w:type="dxa" w:w="4320"/>
          </w:tcPr>
          <w:p>
            <w:r>
              <w:rPr>
                <w:b/>
                <w:sz w:val="18"/>
              </w:rPr>
              <w:t>Volume Year2</w:t>
            </w:r>
          </w:p>
        </w:tc>
        <w:tc>
          <w:tcPr>
            <w:tcW w:type="dxa" w:w="4320"/>
          </w:tcPr>
          <w:p>
            <w:r>
              <w:rPr>
                <w:sz w:val="18"/>
              </w:rPr>
              <w:t>8</w:t>
            </w:r>
          </w:p>
        </w:tc>
      </w:tr>
      <w:tr>
        <w:tc>
          <w:tcPr>
            <w:tcW w:type="dxa" w:w="4320"/>
          </w:tcPr>
          <w:p>
            <w:r>
              <w:rPr>
                <w:b/>
                <w:sz w:val="18"/>
              </w:rPr>
              <w:t>Volume Year2 Note</w:t>
            </w:r>
          </w:p>
        </w:tc>
        <w:tc>
          <w:tcPr>
            <w:tcW w:type="dxa" w:w="4320"/>
          </w:tcPr>
          <w:p>
            <w:r>
              <w:rPr>
                <w:sz w:val="18"/>
              </w:rPr>
              <w:t>Year 2: 5 additional closings (mix of private and first public university completions); assumes 18–24 month cycle started in Month 1</w:t>
            </w:r>
          </w:p>
        </w:tc>
      </w:tr>
      <w:tr>
        <w:tc>
          <w:tcPr>
            <w:tcW w:type="dxa" w:w="4320"/>
          </w:tcPr>
          <w:p>
            <w:r>
              <w:rPr>
                <w:b/>
                <w:sz w:val="18"/>
              </w:rPr>
              <w:t>Volume Year3</w:t>
            </w:r>
          </w:p>
        </w:tc>
        <w:tc>
          <w:tcPr>
            <w:tcW w:type="dxa" w:w="4320"/>
          </w:tcPr>
          <w:p>
            <w:r>
              <w:rPr>
                <w:sz w:val="18"/>
              </w:rPr>
              <w:t>18</w:t>
            </w:r>
          </w:p>
        </w:tc>
      </w:tr>
      <w:tr>
        <w:tc>
          <w:tcPr>
            <w:tcW w:type="dxa" w:w="4320"/>
          </w:tcPr>
          <w:p>
            <w:r>
              <w:rPr>
                <w:b/>
                <w:sz w:val="18"/>
              </w:rPr>
              <w:t>Volume Year3 Note</w:t>
            </w:r>
          </w:p>
        </w:tc>
        <w:tc>
          <w:tcPr>
            <w:tcW w:type="dxa" w:w="4320"/>
          </w:tcPr>
          <w:p>
            <w:r>
              <w:rPr>
                <w:sz w:val="18"/>
              </w:rPr>
              <w:t>Year 3: 10 new + 8 renewals; attrition-adjusted for 15–25% DPIA stall rate on public university prospects</w:t>
            </w:r>
          </w:p>
        </w:tc>
      </w:tr>
      <w:tr>
        <w:tc>
          <w:tcPr>
            <w:tcW w:type="dxa" w:w="4320"/>
          </w:tcPr>
          <w:p>
            <w:r>
              <w:rPr>
                <w:b/>
                <w:sz w:val="18"/>
              </w:rPr>
              <w:t>Arr Year1</w:t>
            </w:r>
          </w:p>
        </w:tc>
        <w:tc>
          <w:tcPr>
            <w:tcW w:type="dxa" w:w="4320"/>
          </w:tcPr>
          <w:p>
            <w:r>
              <w:rPr>
                <w:sz w:val="18"/>
              </w:rPr>
              <w:t>€75k (pilot/discounted pricing)</w:t>
            </w:r>
          </w:p>
        </w:tc>
      </w:tr>
      <w:tr>
        <w:tc>
          <w:tcPr>
            <w:tcW w:type="dxa" w:w="4320"/>
          </w:tcPr>
          <w:p>
            <w:r>
              <w:rPr>
                <w:b/>
                <w:sz w:val="18"/>
              </w:rPr>
              <w:t>Arr Year2</w:t>
            </w:r>
          </w:p>
        </w:tc>
        <w:tc>
          <w:tcPr>
            <w:tcW w:type="dxa" w:w="4320"/>
          </w:tcPr>
          <w:p>
            <w:r>
              <w:rPr>
                <w:sz w:val="18"/>
              </w:rPr>
              <w:t>€200k</w:t>
            </w:r>
          </w:p>
        </w:tc>
      </w:tr>
      <w:tr>
        <w:tc>
          <w:tcPr>
            <w:tcW w:type="dxa" w:w="4320"/>
          </w:tcPr>
          <w:p>
            <w:r>
              <w:rPr>
                <w:b/>
                <w:sz w:val="18"/>
              </w:rPr>
              <w:t>Arr Year3</w:t>
            </w:r>
          </w:p>
        </w:tc>
        <w:tc>
          <w:tcPr>
            <w:tcW w:type="dxa" w:w="4320"/>
          </w:tcPr>
          <w:p>
            <w:r>
              <w:rPr>
                <w:sz w:val="18"/>
              </w:rPr>
              <w:t>€450k</w:t>
            </w:r>
          </w:p>
        </w:tc>
      </w:tr>
      <w:tr>
        <w:tc>
          <w:tcPr>
            <w:tcW w:type="dxa" w:w="4320"/>
          </w:tcPr>
          <w:p>
            <w:r>
              <w:rPr>
                <w:b/>
                <w:sz w:val="18"/>
              </w:rPr>
              <w:t>Arr Year3 Range</w:t>
            </w:r>
          </w:p>
        </w:tc>
        <w:tc>
          <w:tcPr>
            <w:tcW w:type="dxa" w:w="4320"/>
          </w:tcPr>
          <w:p>
            <w:r>
              <w:rPr>
                <w:sz w:val="18"/>
              </w:rPr>
              <w:t>€375k–€625k depending on DPIA attrition realization and Turnitin competitive displacement</w:t>
            </w:r>
          </w:p>
        </w:tc>
      </w:tr>
      <w:tr>
        <w:tc>
          <w:tcPr>
            <w:tcW w:type="dxa" w:w="4320"/>
          </w:tcPr>
          <w:p>
            <w:r>
              <w:rPr>
                <w:b/>
                <w:sz w:val="18"/>
              </w:rPr>
              <w:t>Sales Cycle Months</w:t>
            </w:r>
          </w:p>
        </w:tc>
        <w:tc>
          <w:tcPr>
            <w:tcW w:type="dxa" w:w="4320"/>
          </w:tcPr>
          <w:p>
            <w:r>
              <w:rPr>
                <w:sz w:val="18"/>
              </w:rPr>
              <w:t>{'private_schools': '6–9 months', 'public_universities_base': '12–24 months procurement', 'public_universities_dpia_additive': '3–6 months sequential DPIA review', 'public_universities_total': '15–30 months', 'base_case_used_in_model': '18–24 months for public; 6–9 months for private', 'confidence': 'low — DPIA duration estimate inferred from analogous EU SaaS cases; no direct empirical data for this category'}</w:t>
            </w:r>
          </w:p>
        </w:tc>
      </w:tr>
    </w:tbl>
    <w:p/>
    <w:p>
      <w:pPr>
        <w:pStyle w:val="Heading2"/>
      </w:pPr>
      <w:r>
        <w:rPr>
          <w:color w:val="10B981"/>
        </w:rPr>
        <w:t>▶ Cac Assumptions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Cac Estimate</w:t>
            </w:r>
          </w:p>
        </w:tc>
        <w:tc>
          <w:tcPr>
            <w:tcW w:type="dxa" w:w="4320"/>
          </w:tcPr>
          <w:p>
            <w:r>
              <w:rPr>
                <w:sz w:val="18"/>
              </w:rPr>
              <w:t>€18,000–€35,000 per closed institution</w:t>
            </w:r>
          </w:p>
        </w:tc>
      </w:tr>
      <w:tr>
        <w:tc>
          <w:tcPr>
            <w:tcW w:type="dxa" w:w="4320"/>
          </w:tcPr>
          <w:p>
            <w:r>
              <w:rPr>
                <w:b/>
                <w:sz w:val="18"/>
              </w:rPr>
              <w:t>Cac Components</w:t>
            </w:r>
          </w:p>
        </w:tc>
        <w:tc>
          <w:tcPr>
            <w:tcW w:type="dxa" w:w="4320"/>
          </w:tcPr>
          <w:p>
            <w:r>
              <w:rPr>
                <w:sz w:val="18"/>
              </w:rPr>
              <w:t>{'sales_team_allocation': '5-person team at avg €70k fully-loaded/yr = €350k/yr; Year 1 closes 3 accounts = €116k CAC from team alone', 'marketing_spend': '€30k/yr (conferences, content, outreach tools)', 'blended_cac_year1': '~€38k (high due to low volume; normalizes as volume scales)', 'blended_cac_year3': '~€21k (assuming 10 new accounts in Year 3)'}</w:t>
            </w:r>
          </w:p>
        </w:tc>
      </w:tr>
      <w:tr>
        <w:tc>
          <w:tcPr>
            <w:tcW w:type="dxa" w:w="4320"/>
          </w:tcPr>
          <w:p>
            <w:r>
              <w:rPr>
                <w:b/>
                <w:sz w:val="18"/>
              </w:rPr>
              <w:t>Cac Source</w:t>
            </w:r>
          </w:p>
        </w:tc>
        <w:tc>
          <w:tcPr>
            <w:tcW w:type="dxa" w:w="4320"/>
          </w:tcPr>
          <w:p>
            <w:r>
              <w:rPr>
                <w:sz w:val="18"/>
              </w:rPr>
              <w:t>Bottom-up: sales team cost allocation + estimated marketing spend divided by projected new accounts closed per year</w:t>
            </w:r>
          </w:p>
        </w:tc>
      </w:tr>
      <w:tr>
        <w:tc>
          <w:tcPr>
            <w:tcW w:type="dxa" w:w="4320"/>
          </w:tcPr>
          <w:p>
            <w:r>
              <w:rPr>
                <w:b/>
                <w:sz w:val="18"/>
              </w:rPr>
              <w:t>Ltv Estimate</w:t>
            </w:r>
          </w:p>
        </w:tc>
        <w:tc>
          <w:tcPr>
            <w:tcW w:type="dxa" w:w="4320"/>
          </w:tcPr>
          <w:p>
            <w:r>
              <w:rPr>
                <w:sz w:val="18"/>
              </w:rPr>
              <w:t>€75k (3-year retention at €25k ACV; conservative given high switching cost thesis)</w:t>
            </w:r>
          </w:p>
        </w:tc>
      </w:tr>
      <w:tr>
        <w:tc>
          <w:tcPr>
            <w:tcW w:type="dxa" w:w="4320"/>
          </w:tcPr>
          <w:p>
            <w:r>
              <w:rPr>
                <w:b/>
                <w:sz w:val="18"/>
              </w:rPr>
              <w:t>Ltv Cac Ratio Year3</w:t>
            </w:r>
          </w:p>
        </w:tc>
        <w:tc>
          <w:tcPr>
            <w:tcW w:type="dxa" w:w="4320"/>
          </w:tcPr>
          <w:p>
            <w:r>
              <w:rPr>
                <w:sz w:val="18"/>
              </w:rPr>
              <w:t>~3.6x — acceptable for B2B SaaS at this ACV; below 3x in Year 1 is a burn risk</w:t>
            </w:r>
          </w:p>
        </w:tc>
      </w:tr>
      <w:tr>
        <w:tc>
          <w:tcPr>
            <w:tcW w:type="dxa" w:w="4320"/>
          </w:tcPr>
          <w:p>
            <w:r>
              <w:rPr>
                <w:b/>
                <w:sz w:val="18"/>
              </w:rPr>
              <w:t>Confidence</w:t>
            </w:r>
          </w:p>
        </w:tc>
        <w:tc>
          <w:tcPr>
            <w:tcW w:type="dxa" w:w="4320"/>
          </w:tcPr>
          <w:p>
            <w:r>
              <w:rPr>
                <w:sz w:val="18"/>
              </w:rPr>
              <w:t>low — sales team sizing and close rates are assumed; no pipeline conversion data exists</w:t>
            </w:r>
          </w:p>
        </w:tc>
      </w:tr>
    </w:tbl>
    <w:p/>
    <w:p>
      <w:pPr>
        <w:pStyle w:val="Heading2"/>
      </w:pPr>
      <w:r>
        <w:rPr>
          <w:color w:val="10B981"/>
        </w:rPr>
        <w:t>▶ Market Entry Strategy</w:t>
      </w:r>
    </w:p>
    <w:p>
      <w:pPr>
        <w:shd w:fill="f9fafb"/>
      </w:pPr>
      <w:r>
        <w:rPr>
          <w:sz w:val="20"/>
        </w:rPr>
        <w:t>Year 1: Close 3 private business school pilots (IE, ESADE, IESE tier) at sub-€15k or pilot pricing to bypass procurement delays and generate reference accounts. Develop standard DPIA documentation pack. Begin 18–24 month public university pipeline. Year 2: Leverage private school references to accelerate public university procurement. Target 5 additional closings. Year 3: Scale to 10 new accounts using reference-driven sales and accreditation body co-marketing. Anchor differentiation on audit-trail depth and accreditation workflow integration before Turnitin roadmap materializes.</w:t>
      </w:r>
    </w:p>
    <w:p/>
    <w:p>
      <w:pPr>
        <w:pStyle w:val="Heading2"/>
      </w:pPr>
      <w:r>
        <w:rPr>
          <w:color w:val="10B981"/>
        </w:rPr>
        <w:t>▶ Confidence Score Rationale</w:t>
      </w:r>
    </w:p>
    <w:p>
      <w:pPr>
        <w:shd w:fill="f9fafb"/>
      </w:pPr>
      <w:r>
        <w:rPr>
          <w:sz w:val="20"/>
        </w:rPr>
        <w:t>Downgraded from any higher baseline due to: zero WTP data; DPIA duration inferred not measured; Turnitin competitive threat probability is qualitative; prospect enumeration not directly performed; sales cycle assumptions unvalidated with actual procurement data. Model is a structured hypothesis, not a forecast.</w:t>
      </w:r>
    </w:p>
    <w:p/>
    <w:p>
      <w:pPr>
        <w:pStyle w:val="Heading2"/>
      </w:pPr>
      <w:r>
        <w:t>💡 Key Assumptions</w:t>
      </w:r>
    </w:p>
    <w:p>
      <w:r>
        <w:rPr>
          <w:color w:val="10B981"/>
        </w:rPr>
        <w:t xml:space="preserve">▸ </w:t>
      </w:r>
      <w:r>
        <w:rPr>
          <w:sz w:val="20"/>
        </w:rPr>
        <w:t>AACSB/EQUIS accreditation status used as proxy for research-active institutions — not all accredited schools operate active doctoral programs</w:t>
      </w:r>
    </w:p>
    <w:p>
      <w:r>
        <w:rPr>
          <w:color w:val="10B981"/>
        </w:rPr>
        <w:t xml:space="preserve">▸ </w:t>
      </w:r>
      <w:r>
        <w:rPr>
          <w:sz w:val="20"/>
        </w:rPr>
        <w:t>Turnitin institutional pricing (€15k–€40k) used as WTP proxy — no direct WTP research conducted</w:t>
      </w:r>
    </w:p>
    <w:p>
      <w:r>
        <w:rPr>
          <w:color w:val="10B981"/>
        </w:rPr>
        <w:t xml:space="preserve">▸ </w:t>
      </w:r>
      <w:r>
        <w:rPr>
          <w:sz w:val="20"/>
        </w:rPr>
        <w:t>DPIA duration (3–6 months additive) inferred from analogous EU SaaS deployments in higher education — not empirically measured for this product category</w:t>
      </w:r>
    </w:p>
    <w:p>
      <w:r>
        <w:rPr>
          <w:color w:val="10B981"/>
        </w:rPr>
        <w:t xml:space="preserve">▸ </w:t>
      </w:r>
      <w:r>
        <w:rPr>
          <w:sz w:val="20"/>
        </w:rPr>
        <w:t>Turnitin feature overlap probability (35–50% within 24–36 months) is qualitative estimate based on acquisition history and stated AI roadmap — not derived from insider information</w:t>
      </w:r>
    </w:p>
    <w:p>
      <w:r>
        <w:rPr>
          <w:color w:val="10B981"/>
        </w:rPr>
        <w:t xml:space="preserve">▸ </w:t>
      </w:r>
      <w:r>
        <w:rPr>
          <w:sz w:val="20"/>
        </w:rPr>
        <w:t>DPIA attrition rate (15–25% of public prospects) inferred from analogous cases — no direct measurement</w:t>
      </w:r>
    </w:p>
    <w:p>
      <w:r>
        <w:rPr>
          <w:color w:val="10B981"/>
        </w:rPr>
        <w:t xml:space="preserve">▸ </w:t>
      </w:r>
      <w:r>
        <w:rPr>
          <w:sz w:val="20"/>
        </w:rPr>
        <w:t>5-person sales team assumed sufficient for Year 1–3 targets — no validated sales capacity model exists</w:t>
      </w:r>
    </w:p>
    <w:p>
      <w:r>
        <w:rPr>
          <w:color w:val="10B981"/>
        </w:rPr>
        <w:t xml:space="preserve">▸ </w:t>
      </w:r>
      <w:r>
        <w:rPr>
          <w:sz w:val="20"/>
        </w:rPr>
        <w:t>EU data residency assumed sufficient to reduce DPIA risk surface — actual DPO decisions will vary by institution</w:t>
      </w:r>
    </w:p>
    <w:p/>
    <w:p>
      <w:pPr>
        <w:pStyle w:val="Heading2"/>
      </w:pPr>
      <w:r>
        <w:t>⚠️  Uncertainties</w:t>
      </w:r>
    </w:p>
    <w:p>
      <w:pPr>
        <w:shd w:fill="fefce8"/>
      </w:pPr>
      <w:r>
        <w:rPr>
          <w:i/>
          <w:color w:val="F59E0B"/>
          <w:sz w:val="20"/>
        </w:rPr>
        <w:t>• WTP is entirely unvalidated — no pricing research conducted; €25k ACV may be too high or too low</w:t>
      </w:r>
    </w:p>
    <w:p>
      <w:pPr>
        <w:shd w:fill="fefce8"/>
      </w:pPr>
      <w:r>
        <w:rPr>
          <w:i/>
          <w:color w:val="F59E0B"/>
          <w:sz w:val="20"/>
        </w:rPr>
        <w:t>• DPIA duration and attrition rate are inferred, not measured — actual DPIA outcomes could be faster or slower by institution</w:t>
      </w:r>
    </w:p>
    <w:p>
      <w:pPr>
        <w:shd w:fill="fefce8"/>
      </w:pPr>
      <w:r>
        <w:rPr>
          <w:i/>
          <w:color w:val="F59E0B"/>
          <w:sz w:val="20"/>
        </w:rPr>
        <w:t>• Turnitin roadmap is opaque — 35–50% overlap probability could be materially wrong in either direction</w:t>
      </w:r>
    </w:p>
    <w:p>
      <w:pPr>
        <w:shd w:fill="fefce8"/>
      </w:pPr>
      <w:r>
        <w:rPr>
          <w:i/>
          <w:color w:val="F59E0B"/>
          <w:sz w:val="20"/>
        </w:rPr>
        <w:t>• Prospect count (20–30 research-active schools in Spain; 140–180 in EU) has not been directly enumerated — actual addressable universe may be smaller</w:t>
      </w:r>
    </w:p>
    <w:p>
      <w:pPr>
        <w:shd w:fill="fefce8"/>
      </w:pPr>
      <w:r>
        <w:rPr>
          <w:i/>
          <w:color w:val="F59E0B"/>
          <w:sz w:val="20"/>
        </w:rPr>
        <w:t>• Sales cycle estimates for public universities (15–30 months total) have not been validated with actual procurement officers</w:t>
      </w:r>
    </w:p>
    <w:p>
      <w:pPr>
        <w:shd w:fill="fefce8"/>
      </w:pPr>
      <w:r>
        <w:rPr>
          <w:i/>
          <w:color w:val="F59E0B"/>
          <w:sz w:val="20"/>
        </w:rPr>
        <w:t>• Reference account strategy depends on private school willingness to be public case studies — schools may decline for competitive reasons</w:t>
      </w:r>
    </w:p>
    <w:p>
      <w:pPr>
        <w:shd w:fill="fefce8"/>
      </w:pPr>
      <w:r>
        <w:rPr>
          <w:i/>
          <w:color w:val="F59E0B"/>
          <w:sz w:val="20"/>
        </w:rPr>
        <w:t>• Accreditation body partnership (EFMD, AACSB) is assumed accessible — no conversations initiated; actual receptiveness unknown</w:t>
      </w:r>
    </w:p>
    <w:p>
      <w:pPr>
        <w:shd w:fill="fefce8"/>
      </w:pPr>
      <w:r>
        <w:rPr>
          <w:i/>
          <w:color w:val="F59E0B"/>
          <w:sz w:val="20"/>
        </w:rPr>
        <w:t>• LTV assumption (3-year retention) is unvalidated — churn could be higher if schools cycle through pilots without renewing</w:t>
      </w:r>
    </w:p>
    <w:p/>
    <w:p>
      <w:pPr>
        <w:pStyle w:val="Heading2"/>
      </w:pPr>
      <w:r>
        <w:t>🚨 Unresolved Challenges</w:t>
      </w:r>
    </w:p>
    <w:p>
      <w:pPr>
        <w:shd w:fill="fef2f2"/>
      </w:pP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r>
        <w:br w:type="page"/>
      </w:r>
    </w:p>
    <w:p>
      <w:pPr>
        <w:pStyle w:val="Heading1"/>
      </w:pPr>
      <w:r>
        <w:rPr>
          <w:color w:val="2563EB"/>
        </w:rPr>
        <w:t>⚙️ 10. Operations</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Production Process</w:t>
      </w:r>
    </w:p>
    <w:p>
      <w:pPr>
        <w:shd w:fill="f9fafb"/>
      </w:pPr>
      <w:r>
        <w:rPr>
          <w:sz w:val="20"/>
        </w:rPr>
        <w:t>Ingest (PDF/text) → Extract claims (LLM) → Classify by discipline (fine-tuned model) → Match evidence (RAG+citation graph) → Audit trail &amp; scoring. SaaS EU 2-region. Target &lt;500ms/manuscript. No production system exists; inferred from CEO capabilities.</w:t>
      </w:r>
    </w:p>
    <w:p/>
    <w:p>
      <w:pPr>
        <w:pStyle w:val="Heading2"/>
      </w:pPr>
      <w:r>
        <w:rPr>
          <w:color w:val="10B981"/>
        </w:rPr>
        <w:t>▶ Cost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Fixed Costs</w:t>
            </w:r>
          </w:p>
        </w:tc>
        <w:tc>
          <w:tcPr>
            <w:tcW w:type="dxa" w:w="4320"/>
          </w:tcPr>
          <w:p>
            <w:r>
              <w:rPr>
                <w:sz w:val="18"/>
              </w:rPr>
              <w:t>[{'item': 'Cloud infrastructure (AWS/GCP, 2 EU regions, auto-scaling, SaaS)', 'year_1_eur': 60000, 'assumption': '€5k/month. t3.xlarge RDS, S3, managed vector DB, RAG pipeline. Load test required for 50 concurrent users @ 2000-token extractions/req. Revised upward 3x from €2k estimate pending validation.', 'source': 'AWS EU pricing; load-test gap flagged as CAPEX uncertainty.', 'confidence': 'low'}, {'item': 'LLM API (claim extraction &amp; classification)', 'year_1_eur': 42000, 'assumption': '€3.5k/month: GPT-4 @ €0.30/eval (10k evals Y1). Fine-tuning budgeted separately below. Excludes alternative vendors (Claude, LLaMA); vendor lock-in risk high.', 'source': 'OpenAI pricing; no supplier contract; sensitivity: +20% price = €8.4k margin impact Y1.', 'confidence': 'medium'}, {'item': 'Model fine-tuning &amp; retraining (per discipline, 4 initial)', 'year_1_eur': 18000, 'assumption': '€1.5k/month: 4 disciplines × €2k setup + €3k/retraining cycle (2 per year) = €18k. Decoupled from base LLM cost for transparency.', 'source': 'OpenAI fine-tuning rates; retraining cadence assumption.', 'confidence': 'medium'}, {'item': 'Security, compliance, audit (GDPR, AI Act, DPA, SOC 2)', 'year_1_eur': 18000, 'assumption': '€1.5k/month: GRC platform, SIEM, encryption, pen-testing, audit DB. SOC 2 Type II readiness by Q3 Y1 mandatory for institutional contracts.', 'source': 'Drata/Vanta/Secureframe benchmarks; Section 13 compliance plan incomplete—critical gap.', 'confidence': 'medium'}, {'item': 'Headcount (PM, Privacy Lead 0.5 FTE, Sales, Security Eng 0.5 FTE)', 'year_1_eur': 230000, 'assumption': 'PM €55k, Privacy €25k (0.5 FTE ramp), Sales €55k, Security €35k (0.5 FTE), +15% benefits. Founder cost sunk. CEO Section 4 verified range €280k–€350k; using conservative lower bound.', 'source': 'CEO Section 4 headcount_plan; operational labor allocation only.', 'confidence': 'high'}, {'item': 'Legal &amp; AI Act compliance (DPA, DPIA, institutional contracting)', 'year_1_eur': 24000, 'assumption': '€2k/month external counsel Y1. EU AI Act risk assessment (high-risk classification pending detail), DPA templates, SLA/liability language. Pre-deployment gate Q2 Y1.', 'source': 'Legal benchmark €1.5k–€2.5k/mo for startup GRC; Section 13 empty—critical dependency.', 'confidence': 'low'}]</w:t>
            </w:r>
          </w:p>
        </w:tc>
      </w:tr>
      <w:tr>
        <w:tc>
          <w:tcPr>
            <w:tcW w:type="dxa" w:w="4320"/>
          </w:tcPr>
          <w:p>
            <w:r>
              <w:rPr>
                <w:b/>
                <w:sz w:val="18"/>
              </w:rPr>
              <w:t>Variable Costs</w:t>
            </w:r>
          </w:p>
        </w:tc>
        <w:tc>
          <w:tcPr>
            <w:tcW w:type="dxa" w:w="4320"/>
          </w:tcPr>
          <w:p>
            <w:r>
              <w:rPr>
                <w:sz w:val="18"/>
              </w:rPr>
              <w:t>[{'item': 'Institutional pilot program (3–5 beta partners, annotation groundtruth)', 'unit': 'per_pilot_cohort', 'cost_eur': 25000, 'assumption': '€5k × 5 institutions: onboarding, inter-rater reliability study, usage analytics, model validation. Generates Y1 PMF evidence. F1 ≥85% accuracy gate or revert to manual sampling.', 'source': 'Assumption; no pilot budget in CEO plan. Essential for institutional credibility &amp; claim-extraction validation.', 'confidence': 'low'}, {'item': 'Human expert review (researcher groundtruth, accuracy benchmarking)', 'unit': 'per_50_manuscript_batch', 'cost_eur': 3000, 'assumption': '€120/hr × 25 hrs. 3–5 reviewers × 5 batches Y1 = €15k total inter-rater reliability. Operationalizes QA gate; Y1 validation only, Y2+ TBD.', 'source': 'Research annotation labor rates (Upwork, academic consultant benchmarks).', 'confidence': 'medium'}, {'item': 'Per-manuscript LLM evaluation cost (claims + evidence matching)', 'unit': 'per_evaluation', 'cost_eur': 0.5, 'assumption': '50–100 claims/manuscript → 2000 tokens @ GPT-4 rates (~€0.30) + RAG overhead €0.20 = €0.50/eval. Y1 assumption: 10k evals. UNVALIDATED—no pilot usage data; subject to 3–5x variance.', 'source': 'OpenAI GPT-4 token pricing; RAG cost estimate; high sensitivity flag.', 'confidence': 'low'}, {'item': 'Customer support &amp; SLA monitoring (per active institutional customer Y2+)', 'unit': 'per_customer_per_year', 'cost_eur': 6000, 'assumption': '€500/mo per customer: Slack/email support (12 hrs/mo), onboarding (8 hrs), custom reports. Y1 pilot = no charge. Y2 assumes 5 paying customers × €6k = €30k variable Y2.', 'source': 'SaaS support benchmarks (Gartner); headcount model in Section 4.', 'confidence': 'medium'}]</w:t>
            </w:r>
          </w:p>
        </w:tc>
      </w:tr>
      <w:tr>
        <w:tc>
          <w:tcPr>
            <w:tcW w:type="dxa" w:w="4320"/>
          </w:tcPr>
          <w:p>
            <w:r>
              <w:rPr>
                <w:b/>
                <w:sz w:val="18"/>
              </w:rPr>
              <w:t>Cogs Per Unit</w:t>
            </w:r>
          </w:p>
        </w:tc>
        <w:tc>
          <w:tcPr>
            <w:tcW w:type="dxa" w:w="4320"/>
          </w:tcPr>
          <w:p>
            <w:r>
              <w:rPr>
                <w:sz w:val="18"/>
              </w:rPr>
              <w:t>0.5</w:t>
            </w:r>
          </w:p>
        </w:tc>
      </w:tr>
      <w:tr>
        <w:tc>
          <w:tcPr>
            <w:tcW w:type="dxa" w:w="4320"/>
          </w:tcPr>
          <w:p>
            <w:r>
              <w:rPr>
                <w:b/>
                <w:sz w:val="18"/>
              </w:rPr>
              <w:t>Cogs Source Detail</w:t>
            </w:r>
          </w:p>
        </w:tc>
        <w:tc>
          <w:tcPr>
            <w:tcW w:type="dxa" w:w="4320"/>
          </w:tcPr>
          <w:p>
            <w:r>
              <w:rPr>
                <w:sz w:val="18"/>
              </w:rPr>
              <w:t>LLM API cost per manuscript evaluation (€0.50/eval). Excludes pilot groundtruth labor (amortized).</w:t>
            </w:r>
          </w:p>
        </w:tc>
      </w:tr>
      <w:tr>
        <w:tc>
          <w:tcPr>
            <w:tcW w:type="dxa" w:w="4320"/>
          </w:tcPr>
          <w:p>
            <w:r>
              <w:rPr>
                <w:b/>
                <w:sz w:val="18"/>
              </w:rPr>
              <w:t>Source Labels</w:t>
            </w:r>
          </w:p>
        </w:tc>
        <w:tc>
          <w:tcPr>
            <w:tcW w:type="dxa" w:w="4320"/>
          </w:tcPr>
          <w:p>
            <w:r>
              <w:rPr>
                <w:sz w:val="18"/>
              </w:rPr>
              <w:t>{'aws_eu_pricing': 'AWS EU (Ireland, Frankfurt) pricing Jan 2024; load-test gap = capex uncertainty.', 'openai_api_rates': 'OpenAI pricing; GPT-4 input/output tokens + fine-tuning; vendor lock-in high.', 'legal_grc_benchmark': 'EU AI Act legal labor €1.5k–€2.5k/mo; SOC 2 audit ~€8k–€15k; compliance mandatory Y1.', 'research_annotation': 'Upwork/academic researcher rates €100–€150/hr; inter-rater reliability standard in ML validation.', 'ceo_section_4': 'CEO headcount plan; operations labor extracted; salary ranges verified Section 4.'}</w:t>
            </w:r>
          </w:p>
        </w:tc>
      </w:tr>
    </w:tbl>
    <w:p/>
    <w:p>
      <w:pPr>
        <w:pStyle w:val="Heading2"/>
      </w:pPr>
      <w:r>
        <w:rPr>
          <w:color w:val="10B981"/>
        </w:rPr>
        <w:t>▶ Capacity Plan</w:t>
      </w:r>
    </w:p>
    <w:p>
      <w:pPr>
        <w:shd w:fill="f9fafb"/>
      </w:pPr>
      <w:r>
        <w:rPr>
          <w:sz w:val="20"/>
        </w:rPr>
        <w:t>Y1: 50k manuscripts/yr, 500 concurrent users (2 EU regions, &lt;500ms SLA). 2x bottleneck: LLM token budget (€42k base). 5x bottleneck: Regional data residency (per-region €20k setup cost if new buyer mandates local DC). Auto-scaling RDS &amp; vector DB; manual onboarding load-gates pilot cohort.</w:t>
      </w:r>
    </w:p>
    <w:p/>
    <w:p>
      <w:pPr>
        <w:pStyle w:val="Heading2"/>
      </w:pPr>
      <w:r>
        <w:rPr>
          <w:color w:val="10B981"/>
        </w:rPr>
        <w:t>▶ Supplier Strategy</w:t>
      </w:r>
    </w:p>
    <w:p>
      <w:pPr>
        <w:shd w:fill="f9fafb"/>
      </w:pPr>
      <w:r>
        <w:rPr>
          <w:sz w:val="20"/>
        </w:rPr>
        <w:t>Primary: OpenAI GPT-4 (vendor lock-in risk high). Secondary: Evaluate Claude API, open-source LLaMA 2 fine-tuning (cost reduction 40–60% vs proprietary, latency +100–200ms). Cloud: AWS preferred (GDPR-compliant EU regions); GCP fallback. Security tooling: Vanta/Drata (SOC 2 fast-track). Legal: External counsel Y1, in-house GRC role Y2+.</w:t>
      </w:r>
    </w:p>
    <w:p/>
    <w:p>
      <w:pPr>
        <w:pStyle w:val="Heading2"/>
      </w:pPr>
      <w:r>
        <w:rPr>
          <w:color w:val="10B981"/>
        </w:rPr>
        <w:t>▶ Rd Plan</w:t>
      </w:r>
    </w:p>
    <w:p>
      <w:pPr>
        <w:shd w:fill="f9fafb"/>
      </w:pPr>
      <w:r>
        <w:rPr>
          <w:sz w:val="20"/>
        </w:rPr>
        <w:t>Y1 focus: Inter-rater reliability study (5 batches, 3–5 expert reviewers, F1 ≥85% gate), fine-tuning per discipline (4 initial), latency optimization load-test. Y2+: Open-source model fine-tuning (cost &amp; latency trade-off), multi-language extraction (6 languages), advanced evidence weighting (graph-based citation scoring).</w:t>
      </w:r>
    </w:p>
    <w:p/>
    <w:p>
      <w:pPr>
        <w:pStyle w:val="Heading2"/>
      </w:pPr>
      <w:r>
        <w:rPr>
          <w:color w:val="10B981"/>
        </w:rPr>
        <w:t>▶ Ip Analysis</w:t>
      </w:r>
    </w:p>
    <w:p>
      <w:pPr>
        <w:shd w:fill="f9fafb"/>
      </w:pPr>
      <w:r>
        <w:rPr>
          <w:sz w:val="20"/>
        </w:rPr>
        <w:t>Fine-tuned models (per discipline) = company trade secret; no patent sought (AI Act risk). Citation graph algorithm = potentially patentable but non-core. Vendor deps (OpenAI, AWS) limit IP defensibility. Institutional data (ground-truth annotations) = owned but GDPR-subject. License strategy: B2B SaaS (no model export).</w:t>
      </w:r>
    </w:p>
    <w:p/>
    <w:p>
      <w:pPr>
        <w:pStyle w:val="Heading2"/>
      </w:pPr>
      <w:r>
        <w:t>💡 Key Assumptions</w:t>
      </w:r>
    </w:p>
    <w:p>
      <w:r>
        <w:rPr>
          <w:color w:val="10B981"/>
        </w:rPr>
        <w:t xml:space="preserve">▸ </w:t>
      </w:r>
      <w:r>
        <w:rPr>
          <w:sz w:val="20"/>
        </w:rPr>
        <w:t>Cloud infrastructure €5k/month scales to 50k manuscripts/yr + 500 concurrent users. Pending load-test validation.</w:t>
      </w:r>
    </w:p>
    <w:p>
      <w:r>
        <w:rPr>
          <w:i/>
          <w:color w:val="6B7280"/>
          <w:sz w:val="16"/>
        </w:rPr>
        <w:t xml:space="preserve">      confidence: low | source: AWS EU pricing; revised 3x upward from €2k draft.</w:t>
      </w:r>
    </w:p>
    <w:p>
      <w:r>
        <w:rPr>
          <w:color w:val="10B981"/>
        </w:rPr>
        <w:t xml:space="preserve">▸ </w:t>
      </w:r>
      <w:r>
        <w:rPr>
          <w:sz w:val="20"/>
        </w:rPr>
        <w:t>LLM evaluation cost €0.50/eval; 10k evals Y1. UNVALIDATED—no pilot usage baseline; subject to 3–5x variance.</w:t>
      </w:r>
    </w:p>
    <w:p>
      <w:r>
        <w:rPr>
          <w:i/>
          <w:color w:val="6B7280"/>
          <w:sz w:val="16"/>
        </w:rPr>
        <w:t xml:space="preserve">      confidence: low | source: OpenAI GPT-4 rates + RAG overhead estimate.</w:t>
      </w:r>
    </w:p>
    <w:p>
      <w:r>
        <w:rPr>
          <w:color w:val="10B981"/>
        </w:rPr>
        <w:t xml:space="preserve">▸ </w:t>
      </w:r>
      <w:r>
        <w:rPr>
          <w:sz w:val="20"/>
        </w:rPr>
        <w:t>Fine-tuning €18k Y1 (4 disciplines × retraining 2x/yr). Retraining cadence unvalidated; depends on new ground-truth data arrival.</w:t>
      </w:r>
    </w:p>
    <w:p>
      <w:r>
        <w:rPr>
          <w:i/>
          <w:color w:val="6B7280"/>
          <w:sz w:val="16"/>
        </w:rPr>
        <w:t xml:space="preserve">      confidence: medium | source: OpenAI fine-tuning rates; assumption on retraining frequency.</w:t>
      </w:r>
    </w:p>
    <w:p>
      <w:r>
        <w:rPr>
          <w:color w:val="10B981"/>
        </w:rPr>
        <w:t xml:space="preserve">▸ </w:t>
      </w:r>
      <w:r>
        <w:rPr>
          <w:sz w:val="20"/>
        </w:rPr>
        <w:t>Institutional pilot cohort: 3–5 partners, €25k total (onboarding, annotation, usage analytics). Essential for PMF validation.</w:t>
      </w:r>
    </w:p>
    <w:p>
      <w:r>
        <w:rPr>
          <w:i/>
          <w:color w:val="6B7280"/>
          <w:sz w:val="16"/>
        </w:rPr>
        <w:t xml:space="preserve">      confidence: medium | source: Assumption; CEO plan silent on pilot budget.</w:t>
      </w:r>
    </w:p>
    <w:p>
      <w:r>
        <w:rPr>
          <w:color w:val="10B981"/>
        </w:rPr>
        <w:t xml:space="preserve">▸ </w:t>
      </w:r>
      <w:r>
        <w:rPr>
          <w:sz w:val="20"/>
        </w:rPr>
        <w:t>SOC 2 Type II readiness by Q3 Y1; EU AI Act high-risk classification assumed pending DPIA completion.</w:t>
      </w:r>
    </w:p>
    <w:p>
      <w:r>
        <w:rPr>
          <w:i/>
          <w:color w:val="6B7280"/>
          <w:sz w:val="16"/>
        </w:rPr>
        <w:t xml:space="preserve">      confidence: low | source: Compliance mandatory for institutional SaaS; Section 13 plan incomplete.</w:t>
      </w:r>
    </w:p>
    <w:p>
      <w:r>
        <w:rPr>
          <w:color w:val="10B981"/>
        </w:rPr>
        <w:t xml:space="preserve">▸ </w:t>
      </w:r>
      <w:r>
        <w:rPr>
          <w:sz w:val="20"/>
        </w:rPr>
        <w:t>Vendor lock-in: OpenAI 100% dependency Y1; cost increase +20% = €8.4k Y1 margin impact. No fallback contract in place.</w:t>
      </w:r>
    </w:p>
    <w:p>
      <w:r>
        <w:rPr>
          <w:i/>
          <w:color w:val="6B7280"/>
          <w:sz w:val="16"/>
        </w:rPr>
        <w:t xml:space="preserve">      confidence: medium | source: Pricing sensitivity analysis; no alternative supplier agreement.</w:t>
      </w:r>
    </w:p>
    <w:p/>
    <w:p>
      <w:pPr>
        <w:pStyle w:val="Heading2"/>
      </w:pPr>
      <w:r>
        <w:t>⚠️  Uncertainties</w:t>
      </w:r>
    </w:p>
    <w:p>
      <w:pPr>
        <w:shd w:fill="fefce8"/>
      </w:pPr>
      <w:r>
        <w:rPr>
          <w:i/>
          <w:color w:val="F59E0B"/>
          <w:sz w:val="20"/>
        </w:rPr>
        <w:t>• Cloud infrastructure cost validation gap</w:t>
      </w:r>
    </w:p>
    <w:p>
      <w:pPr>
        <w:shd w:fill="fefce8"/>
      </w:pPr>
      <w:r>
        <w:rPr>
          <w:i/>
          <w:color w:val="F59E0B"/>
          <w:sz w:val="20"/>
        </w:rPr>
        <w:t>• LLM evaluation cost and claim extraction accuracy unproven</w:t>
      </w:r>
    </w:p>
    <w:p>
      <w:pPr>
        <w:shd w:fill="fefce8"/>
      </w:pPr>
      <w:r>
        <w:rPr>
          <w:i/>
          <w:color w:val="F59E0B"/>
          <w:sz w:val="20"/>
        </w:rPr>
        <w:t>• Institutional buyer data residency mandate unknown</w:t>
      </w:r>
    </w:p>
    <w:p>
      <w:pPr>
        <w:shd w:fill="fefce8"/>
      </w:pPr>
      <w:r>
        <w:rPr>
          <w:i/>
          <w:color w:val="F59E0B"/>
          <w:sz w:val="20"/>
        </w:rPr>
        <w:t>• EU AI Act classification and DPIA completion timeline uncertain</w:t>
      </w:r>
    </w:p>
    <w:p/>
    <w:p>
      <w:pPr>
        <w:pStyle w:val="Heading2"/>
      </w:pPr>
      <w:r>
        <w:t>🚨 Unresolved Challenges</w:t>
      </w:r>
    </w:p>
    <w:p>
      <w:pPr>
        <w:shd w:fill="fef2f2"/>
      </w:pPr>
      <w:r>
        <w:rPr>
          <w:b/>
          <w:color w:val="EF4444"/>
          <w:sz w:val="20"/>
        </w:rPr>
        <w:t>[UNKNOWN] RUTHLESS DUE DILIGENCE: STRUCTURED PROBLEMS</w:t>
      </w:r>
    </w:p>
    <w:p>
      <w:pPr>
        <w:shd w:fill="fef2f2"/>
      </w:pP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r>
        <w:br w:type="page"/>
      </w:r>
    </w:p>
    <w:p>
      <w:pPr>
        <w:pStyle w:val="Heading1"/>
      </w:pPr>
      <w:r>
        <w:rPr>
          <w:color w:val="2563EB"/>
        </w:rPr>
        <w:t>💰 12. Financial Modelling</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Risk Mitigation Actions</w:t>
      </w:r>
    </w:p>
    <w:p>
      <w:r>
        <w:rPr>
          <w:color w:val="2563EB"/>
        </w:rPr>
        <w:t xml:space="preserve">• </w:t>
      </w:r>
      <w:r>
        <w:rPr>
          <w:sz w:val="20"/>
        </w:rPr>
        <w:t>Complete 15+ WTP interviews with Spanish private school research deans before Month 3 to validate €25k ACV</w:t>
      </w:r>
    </w:p>
    <w:p>
      <w:r>
        <w:rPr>
          <w:color w:val="2563EB"/>
        </w:rPr>
        <w:t xml:space="preserve">• </w:t>
      </w:r>
      <w:r>
        <w:rPr>
          <w:sz w:val="20"/>
        </w:rPr>
        <w:t>Sign 1 LOI before hiring Sales Lead to avoid €55k sunk cost on unvalidated demand</w:t>
      </w:r>
    </w:p>
    <w:p>
      <w:r>
        <w:rPr>
          <w:color w:val="2563EB"/>
        </w:rPr>
        <w:t xml:space="preserve">• </w:t>
      </w:r>
      <w:r>
        <w:rPr>
          <w:sz w:val="20"/>
        </w:rPr>
        <w:t>Obtain EU AI Act risk-tier legal opinion before any institutional contract to prevent regulatory kill</w:t>
      </w:r>
    </w:p>
    <w:p>
      <w:r>
        <w:rPr>
          <w:color w:val="2563EB"/>
        </w:rPr>
        <w:t xml:space="preserve">• </w:t>
      </w:r>
      <w:r>
        <w:rPr>
          <w:sz w:val="20"/>
        </w:rPr>
        <w:t>Build DPIA template pre-certified by Spanish DPA to reduce public university stall rate below 10%</w:t>
      </w:r>
    </w:p>
    <w:p>
      <w:r>
        <w:rPr>
          <w:color w:val="2563EB"/>
        </w:rPr>
        <w:t xml:space="preserve">• </w:t>
      </w:r>
      <w:r>
        <w:rPr>
          <w:sz w:val="20"/>
        </w:rPr>
        <w:t>Negotiate pilots at €8k–€12k with upgrade clauses to shorten procurement cycle and generate Y1 cash</w:t>
      </w:r>
    </w:p>
    <w:p/>
    <w:p>
      <w:pPr>
        <w:pStyle w:val="Heading2"/>
      </w:pPr>
      <w:r>
        <w:rPr>
          <w:color w:val="10B981"/>
        </w:rPr>
        <w:t>▶ Break Even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Baseline Month</w:t>
            </w:r>
          </w:p>
        </w:tc>
        <w:tc>
          <w:tcPr>
            <w:tcW w:type="dxa" w:w="4320"/>
          </w:tcPr>
          <w:p>
            <w:r>
              <w:rPr>
                <w:sz w:val="18"/>
              </w:rPr>
              <w:t>36</w:t>
            </w:r>
          </w:p>
        </w:tc>
      </w:tr>
      <w:tr>
        <w:tc>
          <w:tcPr>
            <w:tcW w:type="dxa" w:w="4320"/>
          </w:tcPr>
          <w:p>
            <w:r>
              <w:rPr>
                <w:b/>
                <w:sz w:val="18"/>
              </w:rPr>
              <w:t>Optimistic Month</w:t>
            </w:r>
          </w:p>
        </w:tc>
        <w:tc>
          <w:tcPr>
            <w:tcW w:type="dxa" w:w="4320"/>
          </w:tcPr>
          <w:p>
            <w:r>
              <w:rPr>
                <w:sz w:val="18"/>
              </w:rPr>
              <w:t>28</w:t>
            </w:r>
          </w:p>
        </w:tc>
      </w:tr>
      <w:tr>
        <w:tc>
          <w:tcPr>
            <w:tcW w:type="dxa" w:w="4320"/>
          </w:tcPr>
          <w:p>
            <w:r>
              <w:rPr>
                <w:b/>
                <w:sz w:val="18"/>
              </w:rPr>
              <w:t>Pessimistic Month</w:t>
            </w:r>
          </w:p>
        </w:tc>
        <w:tc>
          <w:tcPr>
            <w:tcW w:type="dxa" w:w="4320"/>
          </w:tcPr>
          <w:p>
            <w:r>
              <w:rPr>
                <w:sz w:val="18"/>
              </w:rPr>
              <w:t>50</w:t>
            </w:r>
          </w:p>
        </w:tc>
      </w:tr>
      <w:tr>
        <w:tc>
          <w:tcPr>
            <w:tcW w:type="dxa" w:w="4320"/>
          </w:tcPr>
          <w:p>
            <w:r>
              <w:rPr>
                <w:b/>
                <w:sz w:val="18"/>
              </w:rPr>
              <w:t>Units Required</w:t>
            </w:r>
          </w:p>
        </w:tc>
        <w:tc>
          <w:tcPr>
            <w:tcW w:type="dxa" w:w="4320"/>
          </w:tcPr>
          <w:p>
            <w:r>
              <w:rPr>
                <w:sz w:val="18"/>
              </w:rPr>
              <w:t>20</w:t>
            </w:r>
          </w:p>
        </w:tc>
      </w:tr>
      <w:tr>
        <w:tc>
          <w:tcPr>
            <w:tcW w:type="dxa" w:w="4320"/>
          </w:tcPr>
          <w:p>
            <w:r>
              <w:rPr>
                <w:b/>
                <w:sz w:val="18"/>
              </w:rPr>
              <w:t>Units Required Note</w:t>
            </w:r>
          </w:p>
        </w:tc>
        <w:tc>
          <w:tcPr>
            <w:tcW w:type="dxa" w:w="4320"/>
          </w:tcPr>
          <w:p>
            <w:r>
              <w:rPr>
                <w:sz w:val="18"/>
              </w:rPr>
              <w:t>20 contracts x €25k = €500k ARR covers €480k Y3 opex. Near-break-even at 19.2 units; rounded up. SCENARIO only — no LOIs exist.</w:t>
            </w:r>
          </w:p>
        </w:tc>
      </w:tr>
      <w:tr>
        <w:tc>
          <w:tcPr>
            <w:tcW w:type="dxa" w:w="4320"/>
          </w:tcPr>
          <w:p>
            <w:r>
              <w:rPr>
                <w:b/>
                <w:sz w:val="18"/>
              </w:rPr>
              <w:t>Scenario Modelling Disclaimer</w:t>
            </w:r>
          </w:p>
        </w:tc>
        <w:tc>
          <w:tcPr>
            <w:tcW w:type="dxa" w:w="4320"/>
          </w:tcPr>
          <w:p>
            <w:r>
              <w:rPr>
                <w:sz w:val="18"/>
              </w:rPr>
              <w:t>Figures are planning scenarios only. Become forecasts after 3 signed pilots, 15+ WTP interviews, and confirmed EU AI Act tier.</w:t>
            </w:r>
          </w:p>
        </w:tc>
      </w:tr>
    </w:tbl>
    <w:p/>
    <w:p>
      <w:pPr>
        <w:pStyle w:val="Heading2"/>
      </w:pPr>
      <w:r>
        <w:rPr>
          <w:color w:val="10B981"/>
        </w:rPr>
        <w:t>▶ Three Statement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Scenario Modelling Disclaimer</w:t>
            </w:r>
          </w:p>
        </w:tc>
        <w:tc>
          <w:tcPr>
            <w:tcW w:type="dxa" w:w="4320"/>
          </w:tcPr>
          <w:p>
            <w:r>
              <w:rPr>
                <w:sz w:val="18"/>
              </w:rPr>
              <w:t>Scenario modelling only. No CEO-provided revenue or cost data. All figures analyst-constructed. Do not present as projections without empirical validation.</w:t>
            </w:r>
          </w:p>
        </w:tc>
      </w:tr>
      <w:tr>
        <w:tc>
          <w:tcPr>
            <w:tcW w:type="dxa" w:w="4320"/>
          </w:tcPr>
          <w:p>
            <w:r>
              <w:rPr>
                <w:b/>
                <w:sz w:val="18"/>
              </w:rPr>
              <w:t>Dependency Chain Note</w:t>
            </w:r>
          </w:p>
        </w:tc>
        <w:tc>
          <w:tcPr>
            <w:tcW w:type="dxa" w:w="4320"/>
          </w:tcPr>
          <w:p>
            <w:r>
              <w:rPr>
                <w:sz w:val="18"/>
              </w:rPr>
              <w:t>First revenue preconditions: MVP demo-ready M3 → pilot demo M4 → contract negotiation 6–8 weeks (est. from comparable EdTech pilots) → DPIA review 4–6 weeks → first invoice M8. M6 revenue removed; first revenue revised to M8.</w:t>
            </w:r>
          </w:p>
        </w:tc>
      </w:tr>
      <w:tr>
        <w:tc>
          <w:tcPr>
            <w:tcW w:type="dxa" w:w="4320"/>
          </w:tcPr>
          <w:p>
            <w:r>
              <w:rPr>
                <w:b/>
                <w:sz w:val="18"/>
              </w:rPr>
              <w:t>Pl Monthly Year1</w:t>
            </w:r>
          </w:p>
        </w:tc>
        <w:tc>
          <w:tcPr>
            <w:tcW w:type="dxa" w:w="4320"/>
          </w:tcPr>
          <w:p>
            <w:r>
              <w:rPr>
                <w:sz w:val="18"/>
              </w:rPr>
              <w:t>[{'month': 1, 'revenue': 0, 'costs': -28000, 'net': -28000}, {'month': 2, 'revenue': 0, 'costs': -28000, 'net': -28000}, {'month': 3, 'revenue': 0, 'costs': -28000, 'net': -28000}, {'month': 4, 'revenue': 0, 'costs': -29000, 'net': -29000}, {'month': 5, 'revenue': 0, 'costs': -29000, 'net': -29000}, {'month': 6, 'revenue': 0, 'costs': -29000, 'net': -29000}, {'month': 7, 'revenue': 0, 'costs': -30000, 'net': -30000}, {'month': 8, 'revenue': 2500, 'costs': -30000, 'net': -27500}, {'month': 9, 'revenue': 2500, 'costs': -30000, 'net': -27500}, {'month': 10, 'revenue': 5000, 'costs': -31000, 'net': -26000}, {'month': 11, 'revenue': 5000, 'costs': -31000, 'net': -26000}, {'month': 12, 'revenue': 5000, 'costs': -31000, 'net': -26000}]</w:t>
            </w:r>
          </w:p>
        </w:tc>
      </w:tr>
      <w:tr>
        <w:tc>
          <w:tcPr>
            <w:tcW w:type="dxa" w:w="4320"/>
          </w:tcPr>
          <w:p>
            <w:r>
              <w:rPr>
                <w:b/>
                <w:sz w:val="18"/>
              </w:rPr>
              <w:t>Pl Monthly Year1 Notes</w:t>
            </w:r>
          </w:p>
        </w:tc>
        <w:tc>
          <w:tcPr>
            <w:tcW w:type="dxa" w:w="4320"/>
          </w:tcPr>
          <w:p>
            <w:r>
              <w:rPr>
                <w:sz w:val="18"/>
              </w:rPr>
              <w:t>SCENARIO: 1 pilot €10k invoiced M8 spread monthly; 2nd pilot M10. Y1 total revenue ~€20k. Y1 total costs ~€354k. Y1 net ~-€334k.</w:t>
            </w:r>
          </w:p>
        </w:tc>
      </w:tr>
      <w:tr>
        <w:tc>
          <w:tcPr>
            <w:tcW w:type="dxa" w:w="4320"/>
          </w:tcPr>
          <w:p>
            <w:r>
              <w:rPr>
                <w:b/>
                <w:sz w:val="18"/>
              </w:rPr>
              <w:t>Pl Annual Years2 3</w:t>
            </w:r>
          </w:p>
        </w:tc>
        <w:tc>
          <w:tcPr>
            <w:tcW w:type="dxa" w:w="4320"/>
          </w:tcPr>
          <w:p>
            <w:r>
              <w:rPr>
                <w:sz w:val="18"/>
              </w:rPr>
              <w:t>[{'year': 2, 'revenue': 200000, 'cogs': -40000, 'gross_profit': 160000, 'gross_margin': '80%', 'opex': -460000, 'costs': -500000, 'net': -300000, 'cogs_detail': 'Hosting €800/contract x8=€6.4k; CS onboarding 20hrs x€80 x8=€12.8k; compliance/DPIA allocated €2.6k/contract x8=€20.8k. Total COGS ~€40k.', 'note': 'SCENARIO: 8 contracts x €25k. Opex includes Sales Lead, expanded eng, marketing. 80% GM derived from itemised COGS.'}, {'year': 3, 'revenue': 500000, 'cogs': -90000, 'gross_profit': 410000, 'gross_margin': '82%', 'opex': -390000, 'costs': -480000, 'net': 20000, 'cogs_detail': 'Hosting €800 x20=€16k; CS 20hrs x€80 x20=€32k; compliance €2.1k x20=€42k. Total COGS ~€90k.', 'note': 'SCENARIO: 20 contracts x €25k = €500k ARR. Break-even at 20 units. Y3 opex €390k after efficiency gains. Net +€20k.'}]</w:t>
            </w:r>
          </w:p>
        </w:tc>
      </w:tr>
      <w:tr>
        <w:tc>
          <w:tcPr>
            <w:tcW w:type="dxa" w:w="4320"/>
          </w:tcPr>
          <w:p>
            <w:r>
              <w:rPr>
                <w:b/>
                <w:sz w:val="18"/>
              </w:rPr>
              <w:t>Balance Sheet</w:t>
            </w:r>
          </w:p>
        </w:tc>
        <w:tc>
          <w:tcPr>
            <w:tcW w:type="dxa" w:w="4320"/>
          </w:tcPr>
          <w:p>
            <w:r>
              <w:rPr>
                <w:sz w:val="18"/>
              </w:rPr>
              <w:t>{'seed_funding_required': '€750k–€900k SCENARIO to reach Y3 break-even given revised burn', 'cash_bridge_table': 'Y1 open €750k + Y1 net -€334k = Y1 close €416k; Y2 open €416k + Y2 net -€300k = Y2 close €116k; bridge ~€300k–€400k needed entering Y3', 'ar_y3_segmented': '60% contracts arrears-billed: 12 x €25k x (60/365) = €49k AR. 40% upfront-quarterly: 8 x €25k x 0.25 = €50k deferred revenue. AR and deferred revenue derived from split base.', 'deferred_revenue_y3': '€50k (40% of 20 contracts pay 25% ACV upfront quarterly — ASSUMPTION)', 'ar_y3': '€49k (60% of 20 contracts billed in arrears on 60-day terms — ASSUMPTION)', 'runway_note': '€750k at modelled burn: M1–M7 avg €29k/month = €203k; M8–M12 avg €29.5k = €148k; Y1 total €334k leaving €416k. Y2 avg €41.7k/month; €416k covers ~10 months into Y2. Bridge of €300k–€400k required by M22.'}</w:t>
            </w:r>
          </w:p>
        </w:tc>
      </w:tr>
      <w:tr>
        <w:tc>
          <w:tcPr>
            <w:tcW w:type="dxa" w:w="4320"/>
          </w:tcPr>
          <w:p>
            <w:r>
              <w:rPr>
                <w:b/>
                <w:sz w:val="18"/>
              </w:rPr>
              <w:t>Cash Flow</w:t>
            </w:r>
          </w:p>
        </w:tc>
        <w:tc>
          <w:tcPr>
            <w:tcW w:type="dxa" w:w="4320"/>
          </w:tcPr>
          <w:p>
            <w:r>
              <w:rPr>
                <w:sz w:val="18"/>
              </w:rPr>
              <w:t>{'operating_cf_y1': '-€314k (net -€334k + deferred rev inflow €20k SCENARIO)', 'operating_cf_y2': '-€280k (net -€300k + deferred rev inflow €20k SCENARIO)', 'operating_cf_y3': '+€35k (net +€20k + deferred rev inflow €15k; ending cash reconciles to balance sheet)', 'investing_and_financing_cf': 'Investing: -€15k/yr capex (tooling). Financing Y1: +€750k seed assumed. Y2 bridge: +€350k assumed. Ending cash Y3: €116k open + €350k bridge - €15k capex + €35k OCF = ~€486k'}</w:t>
            </w:r>
          </w:p>
        </w:tc>
      </w:tr>
    </w:tbl>
    <w:p/>
    <w:p>
      <w:pPr>
        <w:pStyle w:val="Heading2"/>
      </w:pPr>
      <w:r>
        <w:rPr>
          <w:color w:val="10B981"/>
        </w:rPr>
        <w:t>▶ Dcf Valuation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w:t>
            </w:r>
          </w:p>
        </w:tc>
        <w:tc>
          <w:tcPr>
            <w:tcW w:type="dxa" w:w="4320"/>
          </w:tcPr>
          <w:p>
            <w:r>
              <w:rPr>
                <w:sz w:val="18"/>
              </w:rPr>
              <w:t>ARR multiple + terminal DCF — SCENARIO MODEL ONLY</w:t>
            </w:r>
          </w:p>
        </w:tc>
      </w:tr>
      <w:tr>
        <w:tc>
          <w:tcPr>
            <w:tcW w:type="dxa" w:w="4320"/>
          </w:tcPr>
          <w:p>
            <w:r>
              <w:rPr>
                <w:b/>
                <w:sz w:val="18"/>
              </w:rPr>
              <w:t>Discount Rate</w:t>
            </w:r>
          </w:p>
        </w:tc>
        <w:tc>
          <w:tcPr>
            <w:tcW w:type="dxa" w:w="4320"/>
          </w:tcPr>
          <w:p>
            <w:r>
              <w:rPr>
                <w:sz w:val="18"/>
              </w:rPr>
              <w:t>35% (early-stage EU B2B SaaS; illiquidity + execution risk + unvalidated WTP)</w:t>
            </w:r>
          </w:p>
        </w:tc>
      </w:tr>
      <w:tr>
        <w:tc>
          <w:tcPr>
            <w:tcW w:type="dxa" w:w="4320"/>
          </w:tcPr>
          <w:p>
            <w:r>
              <w:rPr>
                <w:b/>
                <w:sz w:val="18"/>
              </w:rPr>
              <w:t>Terminal Growth Rate</w:t>
            </w:r>
          </w:p>
        </w:tc>
        <w:tc>
          <w:tcPr>
            <w:tcW w:type="dxa" w:w="4320"/>
          </w:tcPr>
          <w:p>
            <w:r>
              <w:rPr>
                <w:sz w:val="18"/>
              </w:rPr>
              <w:t>3%</w:t>
            </w:r>
          </w:p>
        </w:tc>
      </w:tr>
      <w:tr>
        <w:tc>
          <w:tcPr>
            <w:tcW w:type="dxa" w:w="4320"/>
          </w:tcPr>
          <w:p>
            <w:r>
              <w:rPr>
                <w:b/>
                <w:sz w:val="18"/>
              </w:rPr>
              <w:t>Y3 Arr Scenarios</w:t>
            </w:r>
          </w:p>
        </w:tc>
        <w:tc>
          <w:tcPr>
            <w:tcW w:type="dxa" w:w="4320"/>
          </w:tcPr>
          <w:p>
            <w:r>
              <w:rPr>
                <w:sz w:val="18"/>
              </w:rPr>
              <w:t>Base €500k | Optimistic €625k | Pessimistic €300k</w:t>
            </w:r>
          </w:p>
        </w:tc>
      </w:tr>
      <w:tr>
        <w:tc>
          <w:tcPr>
            <w:tcW w:type="dxa" w:w="4320"/>
          </w:tcPr>
          <w:p>
            <w:r>
              <w:rPr>
                <w:b/>
                <w:sz w:val="18"/>
              </w:rPr>
              <w:t>Implied Valuation Range</w:t>
            </w:r>
          </w:p>
        </w:tc>
        <w:tc>
          <w:tcPr>
            <w:tcW w:type="dxa" w:w="4320"/>
          </w:tcPr>
          <w:p>
            <w:r>
              <w:rPr>
                <w:sz w:val="18"/>
              </w:rPr>
              <w:t>€1.5M–€6.3M (3–5x ARR on €300k–€625k Y3 ARR). CAC payback 18–22mo vs best-in-class &lt;12mo is investor red flag. Requires signed contracts before presentation.</w:t>
            </w:r>
          </w:p>
        </w:tc>
      </w:tr>
    </w:tbl>
    <w:p/>
    <w:p>
      <w:pPr>
        <w:pStyle w:val="Heading2"/>
      </w:pPr>
      <w:r>
        <w:rPr>
          <w:color w:val="10B981"/>
        </w:rPr>
        <w:t>▶ Comps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Turnitin</w:t>
            </w:r>
          </w:p>
        </w:tc>
        <w:tc>
          <w:tcPr>
            <w:tcW w:type="dxa" w:w="4320"/>
          </w:tcPr>
          <w:p>
            <w:r>
              <w:rPr>
                <w:sz w:val="18"/>
              </w:rPr>
              <w:t>{'arr_multiple': '5–7x', 'gross_margin': '82%', 'note': 'Incumbent; institutional contracts; high switching cost'}</w:t>
            </w:r>
          </w:p>
        </w:tc>
      </w:tr>
      <w:tr>
        <w:tc>
          <w:tcPr>
            <w:tcW w:type="dxa" w:w="4320"/>
          </w:tcPr>
          <w:p>
            <w:r>
              <w:rPr>
                <w:b/>
                <w:sz w:val="18"/>
              </w:rPr>
              <w:t>Compilatio</w:t>
            </w:r>
          </w:p>
        </w:tc>
        <w:tc>
          <w:tcPr>
            <w:tcW w:type="dxa" w:w="4320"/>
          </w:tcPr>
          <w:p>
            <w:r>
              <w:rPr>
                <w:sz w:val="18"/>
              </w:rPr>
              <w:t>{'arr_multiple': '3–4x', 'gross_margin': '75%', 'note': 'EU-focused; GDPR-compliant; comparable buyer profile'}</w:t>
            </w:r>
          </w:p>
        </w:tc>
      </w:tr>
      <w:tr>
        <w:tc>
          <w:tcPr>
            <w:tcW w:type="dxa" w:w="4320"/>
          </w:tcPr>
          <w:p>
            <w:r>
              <w:rPr>
                <w:b/>
                <w:sz w:val="18"/>
              </w:rPr>
              <w:t>Ithenticate</w:t>
            </w:r>
          </w:p>
        </w:tc>
        <w:tc>
          <w:tcPr>
            <w:tcW w:type="dxa" w:w="4320"/>
          </w:tcPr>
          <w:p>
            <w:r>
              <w:rPr>
                <w:sz w:val="18"/>
              </w:rPr>
              <w:t>{'arr_multiple': '4–6x', 'gross_margin': '79%', 'note': 'Research-tier; similar ACV range; Clarivate-owned'}</w:t>
            </w:r>
          </w:p>
        </w:tc>
      </w:tr>
    </w:tbl>
    <w:p/>
    <w:p>
      <w:pPr>
        <w:pStyle w:val="Heading2"/>
      </w:pPr>
      <w:r>
        <w:rPr>
          <w:color w:val="10B981"/>
        </w:rPr>
        <w:t>▶ Assumption Log</w:t>
      </w:r>
    </w:p>
    <w:p>
      <w:r>
        <w:rPr>
          <w:color w:val="2563EB"/>
        </w:rPr>
        <w:t xml:space="preserve">• </w:t>
      </w:r>
      <w:r>
        <w:rPr>
          <w:sz w:val="20"/>
        </w:rPr>
        <w:t>name: ACV; value: €25,000; label: unvalidated; source: Analyst assumption — no WTP interviews conducted</w:t>
      </w:r>
    </w:p>
    <w:p>
      <w:r>
        <w:rPr>
          <w:color w:val="2563EB"/>
        </w:rPr>
        <w:t xml:space="preserve">• </w:t>
      </w:r>
      <w:r>
        <w:rPr>
          <w:sz w:val="20"/>
        </w:rPr>
        <w:t>name: first_revenue_month; value: M8; label: scenario; source: Dependency chain: MVP M3 → demo M4 → negotiation 6–8wk → DPIA 4–6wk → invoice M8</w:t>
      </w:r>
    </w:p>
    <w:p>
      <w:r>
        <w:rPr>
          <w:color w:val="2563EB"/>
        </w:rPr>
        <w:t xml:space="preserve">• </w:t>
      </w:r>
      <w:r>
        <w:rPr>
          <w:sz w:val="20"/>
        </w:rPr>
        <w:t>name: Y3_contracts; value: 20; label: scenario; source: Break-even requires 20x €25k = €500k to cover €480k opex</w:t>
      </w:r>
    </w:p>
    <w:p>
      <w:r>
        <w:rPr>
          <w:color w:val="2563EB"/>
        </w:rPr>
        <w:t xml:space="preserve">• </w:t>
      </w:r>
      <w:r>
        <w:rPr>
          <w:sz w:val="20"/>
        </w:rPr>
        <w:t>name: gross_margin_y3; value: 82%; label: derived; source: Itemised COGS: hosting €800/contract + CS €1,600 + compliance €2,100 = €4,500 COGS per contract</w:t>
      </w:r>
    </w:p>
    <w:p>
      <w:r>
        <w:rPr>
          <w:color w:val="2563EB"/>
        </w:rPr>
        <w:t xml:space="preserve">• </w:t>
      </w:r>
      <w:r>
        <w:rPr>
          <w:sz w:val="20"/>
        </w:rPr>
        <w:t>name: seed_raise; value: €750k; label: assumption; source: Revised upward from €600k based on corrected runway calc; no raise confirmed</w:t>
      </w:r>
    </w:p>
    <w:p>
      <w:r>
        <w:rPr>
          <w:color w:val="2563EB"/>
        </w:rPr>
        <w:t xml:space="preserve">• </w:t>
      </w:r>
      <w:r>
        <w:rPr>
          <w:sz w:val="20"/>
        </w:rPr>
        <w:t>name: billing_split; value: 60% arrears / 40% upfront-quarterly; label: assumption; source: Analyst construct to reconcile AR and deferred revenue — unvalidated</w:t>
      </w:r>
    </w:p>
    <w:p>
      <w:r>
        <w:rPr>
          <w:color w:val="2563EB"/>
        </w:rPr>
        <w:t xml:space="preserve">• </w:t>
      </w:r>
      <w:r>
        <w:rPr>
          <w:sz w:val="20"/>
        </w:rPr>
        <w:t>name: Y2_opex; value: €460k; label: scenario; source: Sales Lead €55k + 2 eng €120k + CEO €80k + infra/marketing €205k</w:t>
      </w:r>
    </w:p>
    <w:p>
      <w:r>
        <w:rPr>
          <w:color w:val="2563EB"/>
        </w:rPr>
        <w:t xml:space="preserve">• </w:t>
      </w:r>
      <w:r>
        <w:rPr>
          <w:sz w:val="20"/>
        </w:rPr>
        <w:t>name: bridge_required; value: €300k–€400k by M22; label: scenario; source: Modelled monthly burn exhausts €750k seed by M22 under base scenario</w:t>
      </w:r>
    </w:p>
    <w:p/>
    <w:p>
      <w:pPr>
        <w:pStyle w:val="Heading2"/>
      </w:pPr>
      <w:r>
        <w:t>⚠️  Uncertainties</w:t>
      </w:r>
    </w:p>
    <w:p>
      <w:pPr>
        <w:shd w:fill="fefce8"/>
      </w:pPr>
      <w:r>
        <w:rPr>
          <w:i/>
          <w:color w:val="F59E0B"/>
          <w:sz w:val="20"/>
        </w:rPr>
        <w:t>• ACV of €25k entirely unvalidated — zero WTP interviews completed; actual ACV could be €8k–€15k for pilots</w:t>
      </w:r>
    </w:p>
    <w:p>
      <w:pPr>
        <w:shd w:fill="fefce8"/>
      </w:pPr>
      <w:r>
        <w:rPr>
          <w:i/>
          <w:color w:val="F59E0B"/>
          <w:sz w:val="20"/>
        </w:rPr>
        <w:t>• First revenue dependency chain (MVP→demo→DPIA→invoice) may push past M8 if product or legal review delays occur</w:t>
      </w:r>
    </w:p>
    <w:p>
      <w:pPr>
        <w:shd w:fill="fefce8"/>
      </w:pPr>
      <w:r>
        <w:rPr>
          <w:i/>
          <w:color w:val="F59E0B"/>
          <w:sz w:val="20"/>
        </w:rPr>
        <w:t>• EU AI Act risk tier unconfirmed — high-risk classification could halt sales pipeline mid-cycle</w:t>
      </w:r>
    </w:p>
    <w:p>
      <w:pPr>
        <w:shd w:fill="fefce8"/>
      </w:pPr>
      <w:r>
        <w:rPr>
          <w:i/>
          <w:color w:val="F59E0B"/>
          <w:sz w:val="20"/>
        </w:rPr>
        <w:t>• Billing split (60/40 arrears/upfront) is analyst-constructed with no contract precedent; AR and deferred rev figures are illustrative</w:t>
      </w:r>
    </w:p>
    <w:p>
      <w:pPr>
        <w:shd w:fill="fefce8"/>
      </w:pPr>
      <w:r>
        <w:rPr>
          <w:i/>
          <w:color w:val="F59E0B"/>
          <w:sz w:val="20"/>
        </w:rPr>
        <w:t>• Bridge financing of €300k–€400k required by M22 under base scenario; terms and dilution impact unquantified</w:t>
      </w:r>
    </w:p>
    <w:p/>
    <w:p>
      <w:pPr>
        <w:pStyle w:val="Heading2"/>
      </w:pPr>
      <w:r>
        <w:t>🚨 Unresolved Challenges</w:t>
      </w:r>
    </w:p>
    <w:p>
      <w:pPr>
        <w:shd w:fill="fef2f2"/>
      </w:pP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r>
        <w:br w:type="page"/>
      </w:r>
    </w:p>
    <w:p>
      <w:pPr>
        <w:pStyle w:val="Heading1"/>
      </w:pPr>
      <w:r>
        <w:rPr>
          <w:color w:val="2563EB"/>
        </w:rPr>
        <w:t>🚀 13. Launch &amp; Contingency</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Launch Programme</w:t>
      </w:r>
    </w:p>
    <w:p>
      <w:r>
        <w:rPr>
          <w:color w:val="2563EB"/>
        </w:rPr>
        <w:t xml:space="preserve">• </w:t>
      </w:r>
      <w:r>
        <w:rPr>
          <w:sz w:val="20"/>
        </w:rPr>
        <w:t>milestone: M1: EU AI Act classification + GDPR/DPIA framework; target date: Month 2; rationale: Legal classification gates GTM. High-risk designation delays EU sales 6+ months; requires contingency US pivot decision by Month 3.; deliverable: Written AI Act Annex III assessment; reusable DPIA template (≤15 pages); legal opinion on classification implications; success criterion: Classification finalized; counsel confirms non-high-risk OR US pivot greenlit by Month 3</w:t>
      </w:r>
    </w:p>
    <w:p>
      <w:r>
        <w:rPr>
          <w:color w:val="2563EB"/>
        </w:rPr>
        <w:t xml:space="preserve">• </w:t>
      </w:r>
      <w:r>
        <w:rPr>
          <w:sz w:val="20"/>
        </w:rPr>
        <w:t>milestone: M2: Functional MVP + 5 pilot MOUs (mixed institutional buyers/researcher users); target date: Month 4; rationale: Validates deployable artifact and institutional resource commitment (not advisory interest). Revenue defense depends on working integration, not prototype.; deliverable: Pre-submission validation module (web/API); 5 signed pilot MOUs with procurement authority confirmed; success criterion: ≥4/5 pilots confirm workflow feasibility; module processes ≥3 test manuscripts error-free; ≥3 MOUs signed by procurement-authorized signatories</w:t>
      </w:r>
    </w:p>
    <w:p>
      <w:r>
        <w:rPr>
          <w:color w:val="2563EB"/>
        </w:rPr>
        <w:t xml:space="preserve">• </w:t>
      </w:r>
      <w:r>
        <w:rPr>
          <w:sz w:val="20"/>
        </w:rPr>
        <w:t>milestone: M3: Buyer validation—10 institutional interviews + WTP/budget authority study; target date: Month 5; rationale: Tests whether €25k blended ACV assumption holds: standalone budget category vs addon, buyer=budget authority, researcher adoption mandated. Critical kill condition for SaaS model.; deliverable: 10 recorded interviews (deans, doctoral directors, compliance officers); WTP distribution; buyer-user incentive conflict analysis; success criterion: ≥6/10 confirm autonomous epistemic validation budget exists; median WTP ≥€15k annual; ≥60% confirm mandatory researcher adoption (not voluntary)</w:t>
      </w:r>
    </w:p>
    <w:p>
      <w:r>
        <w:rPr>
          <w:color w:val="2563EB"/>
        </w:rPr>
        <w:t xml:space="preserve">• </w:t>
      </w:r>
      <w:r>
        <w:rPr>
          <w:sz w:val="20"/>
        </w:rPr>
        <w:t>milestone: M4: Private school pilot closings (2–3 contracts) + 1 anonymized case study; target date: Month 9; rationale: Private institutions move faster (6–9 mo vs public 15–30 mo DPIA cycle). Target 2–3 closings (not 3 hard target) to de-risk Year 1 €75k revenue forecast. Validates adoption and renewal intent.; deliverable: 2–3 executed contracts with research-intensive private schools; case study quantifying researcher adoption rate and manuscript revision impact; success criterion: ≥2/2–3 pilots show ≥50% researcher MAU (2+ logins/month); ≥1 commits to Year 2 renewal signaling perceived value retention</w:t>
      </w:r>
    </w:p>
    <w:p>
      <w:r>
        <w:rPr>
          <w:color w:val="2563EB"/>
        </w:rPr>
        <w:t xml:space="preserve">• </w:t>
      </w:r>
      <w:r>
        <w:rPr>
          <w:sz w:val="20"/>
        </w:rPr>
        <w:t>milestone: M5: Public university DPIA submissions + procurement-stage pipeline (4+ qualified prospects); target date: Month 12; rationale: Public procurement cycle: 12–24 mo + 3–6 mo DPIA = 15–30 mo total. Month 12 DPIA submission gates Year 2 revenue. Only procurement-stage prospects (not discovery) predict closings.; deliverable: DPIAs submitted to ≥3 public universities; pipeline report with 4+ prospects at procurement-review stage with procurement authority named; success criterion: ≥2 DPIAs in final review or approved; ≥1 public university confirms Year 2 budget allocation in writing</w:t>
      </w:r>
    </w:p>
    <w:p>
      <w:r>
        <w:rPr>
          <w:color w:val="2563EB"/>
        </w:rPr>
        <w:t xml:space="preserve">• </w:t>
      </w:r>
      <w:r>
        <w:rPr>
          <w:sz w:val="20"/>
        </w:rPr>
        <w:t>milestone: M6: Year 2 ARR target (€100k+ by Month 18) + Turnitin competitive positioning validated; target date: Month 18; rationale: Kill condition: ARR &lt;€100k by Month 18 signals model failure. Revise forecast: 2–3 public + 1–2 private expansion = €100k–€120k range (not €120k+ hard floor). Competitive memo defensible in ≥50% target institutions.; deliverable: ≥2 public contracts signed; Turnitin differentiation memo; product roadmap addressing top 3 pilot feature requests; success criterion: ARR ≥€100k by Month 18; differentiation (not feature parity) defensible in ≥50% of target institutions; ≥1 competitor loss documented</w:t>
      </w:r>
    </w:p>
    <w:p/>
    <w:p>
      <w:pPr>
        <w:pStyle w:val="Heading2"/>
      </w:pPr>
      <w:r>
        <w:rPr>
          <w:color w:val="10B981"/>
        </w:rPr>
        <w:t>▶ Prerequisite Conditions</w:t>
      </w:r>
    </w:p>
    <w:p>
      <w:r>
        <w:rPr>
          <w:color w:val="2563EB"/>
        </w:rPr>
        <w:t xml:space="preserve">• </w:t>
      </w:r>
      <w:r>
        <w:rPr>
          <w:sz w:val="20"/>
        </w:rPr>
        <w:t>€25k ACV assumes (a) annual institutional contracts, (b) buyer=budget authority, (c) researcher adoption mandated, (d) epistemic validation is separate budget line. Pilot renewals and buyer interviews (M3–M4) are kill conditions. If &lt;50% confirm autonomous budget, pivot to researcher-direct freemium.</w:t>
      </w:r>
    </w:p>
    <w:p>
      <w:r>
        <w:rPr>
          <w:color w:val="2563EB"/>
        </w:rPr>
        <w:t xml:space="preserve">• </w:t>
      </w:r>
      <w:r>
        <w:rPr>
          <w:sz w:val="20"/>
        </w:rPr>
        <w:t>High-risk Annex III classification delays EU sales 6+ months pending algorithmic audit and conformity assessment. Contingency: US market focus (Harvard, Stanford tier). Legal opinion (M1) informs pivot decision by Month 3.</w:t>
      </w:r>
    </w:p>
    <w:p>
      <w:r>
        <w:rPr>
          <w:color w:val="2563EB"/>
        </w:rPr>
        <w:t xml:space="preserve">• </w:t>
      </w:r>
      <w:r>
        <w:rPr>
          <w:sz w:val="20"/>
        </w:rPr>
        <w:t>M4 assumes private schools move faster → greater adoption proof. Risk: faster cycle may reflect lower governance rigor, not product-market fit. Public university rigor (DPIAs, compliance reviews) is truer adoption signal. Case study must quantify researcher adoption and retention intent, not just speed.</w:t>
      </w:r>
    </w:p>
    <w:p>
      <w:r>
        <w:rPr>
          <w:color w:val="2563EB"/>
        </w:rPr>
        <w:t xml:space="preserve">• </w:t>
      </w:r>
      <w:r>
        <w:rPr>
          <w:sz w:val="20"/>
        </w:rPr>
        <w:t>M6 requires Turnitin differentiation defensible in ≥50% of target institutions. Turnitin has 50+ million student users, institutional relationships, and pricing scale. EpistemicOS differentiation (epistemology validation vs plagiarism) is conceptual, not yet proven in procurement conversations. Risk: Turnitin adds epistemic features faster than EpistemicOS can scale.</w:t>
      </w:r>
    </w:p>
    <w:p/>
    <w:p>
      <w:pPr>
        <w:pStyle w:val="Heading2"/>
      </w:pPr>
      <w:r>
        <w:rPr>
          <w:color w:val="10B981"/>
        </w:rPr>
        <w:t>▶ Capital Plan</w:t>
      </w:r>
    </w:p>
    <w:p>
      <w:pPr>
        <w:shd w:fill="f9fafb"/>
      </w:pPr>
      <w:r>
        <w:rPr>
          <w:sz w:val="20"/>
        </w:rPr>
        <w:t>Seed requirement: €150k–€200k for Months 1–6 (MVP dev, legal/DPIA support, pilots, buyer validation). Series A requirement (Month 9+): €400k–€600k for public university sales, product roadmap, team expansion. Assumes break-even Year 2.</w:t>
      </w:r>
    </w:p>
    <w:p/>
    <w:p>
      <w:pPr>
        <w:pStyle w:val="Heading2"/>
      </w:pPr>
      <w:r>
        <w:rPr>
          <w:color w:val="10B981"/>
        </w:rPr>
        <w:t>▶ Critical Path Item</w:t>
      </w:r>
    </w:p>
    <w:p>
      <w:pPr>
        <w:shd w:fill="f9fafb"/>
      </w:pPr>
      <w:r>
        <w:rPr>
          <w:sz w:val="20"/>
        </w:rPr>
        <w:t>M1 (Month 2) legal classification gates M2 GTM momentum. If high-risk, US pivot decision compressed to Month 3. M3 buyer validation (Month 5) is kill condition for SaaS institutional model; &lt;50% budget autonomy confirmation triggers freemium pivot.</w:t>
      </w:r>
    </w:p>
    <w:p/>
    <w:p>
      <w:pPr>
        <w:pStyle w:val="Heading2"/>
      </w:pPr>
      <w:r>
        <w:rPr>
          <w:color w:val="10B981"/>
        </w:rPr>
        <w:t>▶ Contingency Scenarios</w:t>
      </w:r>
    </w:p>
    <w:p>
      <w:r>
        <w:rPr>
          <w:color w:val="2563EB"/>
        </w:rPr>
        <w:t xml:space="preserve">• </w:t>
      </w:r>
      <w:r>
        <w:rPr>
          <w:sz w:val="20"/>
        </w:rPr>
        <w:t>scenario: AI Act high-risk classification (Month 2); trigger: Legal opinion confirms Annex III high-risk designation; response: Activate US GTM focus (Harvard, Stanford tier). Delay EU GTM to Month 9+ pending algorithmic audit completion. Rebudget sales effort from EU to US. Maintain EU product roadmap for Year 2 reentry.</w:t>
      </w:r>
    </w:p>
    <w:p>
      <w:r>
        <w:rPr>
          <w:color w:val="2563EB"/>
        </w:rPr>
        <w:t xml:space="preserve">• </w:t>
      </w:r>
      <w:r>
        <w:rPr>
          <w:sz w:val="20"/>
        </w:rPr>
        <w:t>scenario: SaaS institutional model validation failure (Month 5); trigger: &lt;50% of 10 institutional buyers confirm standalone epistemic validation budget; median WTP &lt;€12k annual; response: Pivot to researcher-direct freemium + premium consulting. Abandon institutional SaaS licensing model. Monetize via validation-as-service (per-manuscript fees). Year 1 revenue forecast reduced to €0–€20k; Unit economics recalculated.</w:t>
      </w:r>
    </w:p>
    <w:p>
      <w:r>
        <w:rPr>
          <w:color w:val="2563EB"/>
        </w:rPr>
        <w:t xml:space="preserve">• </w:t>
      </w:r>
      <w:r>
        <w:rPr>
          <w:sz w:val="20"/>
        </w:rPr>
        <w:t>scenario: Private pilot adoption below threshold (Month 9); trigger: &lt;50% researcher MAU in 2+ private pilots OR &lt;60% express renewal intent at standard pricing; response: Deprioritize private school segment. Accelerate public university DPIA submissions (M5) as primary GTM. Consider single-institution white-label or licensing model. Year 1–2 revenue forecast revised to €50k–€100k ARR range.</w:t>
      </w:r>
    </w:p>
    <w:p/>
    <w:p>
      <w:pPr>
        <w:pStyle w:val="Heading2"/>
      </w:pPr>
      <w:r>
        <w:rPr>
          <w:color w:val="10B981"/>
        </w:rPr>
        <w:t>▶ Exit Conditions</w:t>
      </w:r>
    </w:p>
    <w:p>
      <w:r>
        <w:rPr>
          <w:color w:val="2563EB"/>
        </w:rPr>
        <w:t xml:space="preserve">• </w:t>
      </w:r>
      <w:r>
        <w:rPr>
          <w:sz w:val="20"/>
        </w:rPr>
        <w:t>trigger: By Month 12: ARR &lt;€50k AND &lt;2 public university DPIAs in final review AND &lt;60% buyer validation confirms standalone budget; outcome: Institutional SaaS model unvalidated. Recommend pivot to research methodology consulting or acquisition by Turnitin/Chegg for team/IP.; rationale: Confluence of weak revenue, slow public adoption, and budget authority questions signals structural model mismatch, not execution gap.</w:t>
      </w:r>
    </w:p>
    <w:p>
      <w:r>
        <w:rPr>
          <w:color w:val="2563EB"/>
        </w:rPr>
        <w:t xml:space="preserve">• </w:t>
      </w:r>
      <w:r>
        <w:rPr>
          <w:sz w:val="20"/>
        </w:rPr>
        <w:t>trigger: By Month 18: ARR &lt;€100k AND Turnitin differentiation not defensible in ≥40% target institutions AND ≥2 lost deals to Turnitin; outcome: Competitive positioning untenable. Recommend Turnitin partnership (white-label integration) or niche pivot (doctoral programs, methodology centers only).; rationale: Standalone SaaS scale path blocked by Turnitin scale + feature velocity. Niche positioning or partnership preserves optionality.</w:t>
      </w:r>
    </w:p>
    <w:p/>
    <w:p>
      <w:pPr>
        <w:pStyle w:val="Heading2"/>
      </w:pPr>
      <w:r>
        <w:t>💡 Key Assumptions</w:t>
      </w:r>
    </w:p>
    <w:p>
      <w:r>
        <w:rPr>
          <w:color w:val="10B981"/>
        </w:rPr>
        <w:t xml:space="preserve">▸ </w:t>
      </w:r>
      <w:r>
        <w:rPr>
          <w:sz w:val="20"/>
        </w:rPr>
        <w:t>Institutional buyers (deans, doctoral directors) have autonomous epistemic validation budget, not addon to existing compliance spending. Validation required M3.</w:t>
      </w:r>
    </w:p>
    <w:p>
      <w:r>
        <w:rPr>
          <w:color w:val="10B981"/>
        </w:rPr>
        <w:t xml:space="preserve">▸ </w:t>
      </w:r>
      <w:r>
        <w:rPr>
          <w:sz w:val="20"/>
        </w:rPr>
        <w:t>Researcher adoption mandated by institutional buyer (not voluntary sign-up). Pilot renewals and adoption ≥50% MAU validate this assumption.</w:t>
      </w:r>
    </w:p>
    <w:p>
      <w:r>
        <w:rPr>
          <w:color w:val="10B981"/>
        </w:rPr>
        <w:t xml:space="preserve">▸ </w:t>
      </w:r>
      <w:r>
        <w:rPr>
          <w:sz w:val="20"/>
        </w:rPr>
        <w:t>Private schools move 6–9 months vs public universities 15–30 months. Historical institutional SaaS benchmarks support 3–5x cycle ratio.</w:t>
      </w:r>
    </w:p>
    <w:p>
      <w:r>
        <w:rPr>
          <w:color w:val="10B981"/>
        </w:rPr>
        <w:t xml:space="preserve">▸ </w:t>
      </w:r>
      <w:r>
        <w:rPr>
          <w:sz w:val="20"/>
        </w:rPr>
        <w:t>Epistemic validation is defensibly differentiated from Turnitin plagiarism detection. Conceptual differentiation unvalidated in procurement conversations; competitive validation required M6.</w:t>
      </w:r>
    </w:p>
    <w:p>
      <w:r>
        <w:rPr>
          <w:color w:val="10B981"/>
        </w:rPr>
        <w:t xml:space="preserve">▸ </w:t>
      </w:r>
      <w:r>
        <w:rPr>
          <w:sz w:val="20"/>
        </w:rPr>
        <w:t>Year 1 €75k revenue achievable from 2–3 private pilots + 1–2 institutional advisory engagements. Year 2 €100k–€200k ARR requires 2–3 public universities + 1–2 private expansion. Assumes 60%+ annual churn containment via renewals.</w:t>
      </w:r>
    </w:p>
    <w:p/>
    <w:p>
      <w:pPr>
        <w:pStyle w:val="Heading2"/>
      </w:pPr>
      <w:r>
        <w:t>⚠️  Uncertainties</w:t>
      </w:r>
    </w:p>
    <w:p>
      <w:pPr>
        <w:shd w:fill="fefce8"/>
      </w:pPr>
      <w:r>
        <w:rPr>
          <w:i/>
          <w:color w:val="F59E0B"/>
          <w:sz w:val="20"/>
        </w:rPr>
        <w:t>• 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i/>
          <w:color w:val="F59E0B"/>
          <w:sz w:val="20"/>
        </w:rPr>
        <w:t>• 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i/>
          <w:color w:val="F59E0B"/>
          <w:sz w:val="20"/>
        </w:rPr>
        <w:t>• 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i/>
          <w:color w:val="F59E0B"/>
          <w:sz w:val="20"/>
        </w:rPr>
        <w:t>• Researcher adoption mandate enforcement: Assumes institutional buyers can mandate researcher adoption. Risk: researchers vote with feet (low adoption despite mandate). Mitigation: M4 case study must quantify adoption compliance and revision behavior, not just access.</w:t>
      </w:r>
    </w:p>
    <w:p/>
    <w:p>
      <w:pPr>
        <w:pStyle w:val="Heading2"/>
      </w:pPr>
      <w:r>
        <w:t>🚨 Unresolved Challenges</w:t>
      </w:r>
    </w:p>
    <w:p>
      <w:pPr>
        <w:shd w:fill="fef2f2"/>
      </w:pP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EF4444"/>
          <w:sz w:val="20"/>
        </w:rPr>
        <w:t>[UNKNOWN] PROBLEM 2</w:t>
        <w:br/>
        <w:t>TYPE: Unsupported claim (missing sensitivity)</w:t>
        <w:br/>
        <w:t>LOCATION: M4 success criterion and M6 revenue target</w:t>
        <w:br/>
        <w:t>WHAT'S WRONG:</w:t>
        <w:br/>
        <w:t>- M4 targets "3 private school pilots at sub-€15k" and states</w:t>
      </w:r>
    </w:p>
    <w:p>
      <w:r>
        <w:br w:type="page"/>
      </w:r>
    </w:p>
    <w:p>
      <w:pPr>
        <w:pStyle w:val="Heading1"/>
      </w:pPr>
      <w:r>
        <w:rPr>
          <w:color w:val="2563EB"/>
        </w:rPr>
        <w:t>🚪 14. Exit Strategy &amp; Cap Table</w:t>
      </w:r>
    </w:p>
    <w:p>
      <w:pPr>
        <w:shd w:fill="f9fafb"/>
      </w:pPr>
      <w:r>
        <w:rPr>
          <w:b/>
          <w:color w:val="6B7280"/>
          <w:sz w:val="18"/>
        </w:rPr>
        <w:t xml:space="preserve">CONFIDENCE: </w:t>
      </w:r>
      <w:r>
        <w:rPr>
          <w:b/>
          <w:color w:val="EF4444"/>
          <w:sz w:val="20"/>
        </w:rPr>
        <w:t xml:space="preserve"> LOW </w:t>
      </w:r>
      <w:r>
        <w:rPr>
          <w:sz w:val="24"/>
        </w:rPr>
        <w:t xml:space="preserve">  █░░░░</w:t>
      </w:r>
    </w:p>
    <w:p/>
    <w:p>
      <w:pPr>
        <w:pStyle w:val="Heading2"/>
      </w:pPr>
      <w:r>
        <w:rPr>
          <w:color w:val="10B981"/>
        </w:rPr>
        <w:t>▶ Exit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Primary Path</w:t>
            </w:r>
          </w:p>
        </w:tc>
        <w:tc>
          <w:tcPr>
            <w:tcW w:type="dxa" w:w="4320"/>
          </w:tcPr>
          <w:p>
            <w:r>
              <w:rPr>
                <w:sz w:val="18"/>
              </w:rPr>
              <w:t>Trade sale to academic workflow consolidator: Clarivate, Elsevier, or Advance Publications/Turnitin parent. Digital Science removed as primary target — see rationale.</w:t>
            </w:r>
          </w:p>
        </w:tc>
      </w:tr>
      <w:tr>
        <w:tc>
          <w:tcPr>
            <w:tcW w:type="dxa" w:w="4320"/>
          </w:tcPr>
          <w:p>
            <w:r>
              <w:rPr>
                <w:b/>
                <w:sz w:val="18"/>
              </w:rPr>
              <w:t>Rationale</w:t>
            </w:r>
          </w:p>
        </w:tc>
        <w:tc>
          <w:tcPr>
            <w:tcW w:type="dxa" w:w="4320"/>
          </w:tcPr>
          <w:p>
            <w:r>
              <w:rPr>
                <w:sz w:val="18"/>
              </w:rPr>
              <w:t>Clarivate ($5.3B ProQuest 2021) owns ScholarOne+EndNote+Web of Science; inferential QA completes pre-submission stack. Elsevier SciVal/Pure lacks manuscript-level claim validation. Digital Science owns Ripeta (methods-reproducibility/reporting-standard checks) — a direct functional overlap. EpistemicOS must differentiate on inferential QA depth vs. Ripeta's reporting-standard focus; Digital Science is a secondary acquirer only if differentiation is demonstrated. Advance/Turnitin parent seeking post-submission integrity expansion is plausible acquirer.</w:t>
            </w:r>
          </w:p>
        </w:tc>
      </w:tr>
      <w:tr>
        <w:tc>
          <w:tcPr>
            <w:tcW w:type="dxa" w:w="4320"/>
          </w:tcPr>
          <w:p>
            <w:r>
              <w:rPr>
                <w:b/>
                <w:sz w:val="18"/>
              </w:rPr>
              <w:t>Digital Science Clarification</w:t>
            </w:r>
          </w:p>
        </w:tc>
        <w:tc>
          <w:tcPr>
            <w:tcW w:type="dxa" w:w="4320"/>
          </w:tcPr>
          <w:p>
            <w:r>
              <w:rPr>
                <w:sz w:val="18"/>
              </w:rPr>
              <w:t>Ripeta (Digital Science) performs methods-reproducibility and reporting checks. EpistemicOS thesis: Ripeta checks reporting standards; EpistemicOS validates inferential logic and statistical claim validity — distinct layer. Differentiation must be documented pre-outreach or Digital Science should be removed from acquirer list.</w:t>
            </w:r>
          </w:p>
        </w:tc>
      </w:tr>
      <w:tr>
        <w:tc>
          <w:tcPr>
            <w:tcW w:type="dxa" w:w="4320"/>
          </w:tcPr>
          <w:p>
            <w:r>
              <w:rPr>
                <w:b/>
                <w:sz w:val="18"/>
              </w:rPr>
              <w:t>Target Timeline Years</w:t>
            </w:r>
          </w:p>
        </w:tc>
        <w:tc>
          <w:tcPr>
            <w:tcW w:type="dxa" w:w="4320"/>
          </w:tcPr>
          <w:p>
            <w:r>
              <w:rPr>
                <w:sz w:val="18"/>
              </w:rPr>
              <w:t>5–7 from first revenue (Year 2), implying exit Year 6–9 from today</w:t>
            </w:r>
          </w:p>
        </w:tc>
      </w:tr>
      <w:tr>
        <w:tc>
          <w:tcPr>
            <w:tcW w:type="dxa" w:w="4320"/>
          </w:tcPr>
          <w:p>
            <w:r>
              <w:rPr>
                <w:b/>
                <w:sz w:val="18"/>
              </w:rPr>
              <w:t>Exit Multiple Range</w:t>
            </w:r>
          </w:p>
        </w:tc>
        <w:tc>
          <w:tcPr>
            <w:tcW w:type="dxa" w:w="4320"/>
          </w:tcPr>
          <w:p>
            <w:r>
              <w:rPr>
                <w:sz w:val="18"/>
              </w:rPr>
              <w:t>3–4.5x ARR. EU AI Act compliance cost risk applies systematically across all scenarios as a structural discount vs. US SaaS comps. 2021 peak of 6–10x not replicable; 2023–2024 academic SaaS M&amp;A compressed to 3–4x per Bain Global M&amp;A Report 2023 and Dealroom EdTech Europe Report Q4 2023.</w:t>
            </w:r>
          </w:p>
        </w:tc>
      </w:tr>
      <w:tr>
        <w:tc>
          <w:tcPr>
            <w:tcW w:type="dxa" w:w="4320"/>
          </w:tcPr>
          <w:p>
            <w:r>
              <w:rPr>
                <w:b/>
                <w:sz w:val="18"/>
              </w:rPr>
              <w:t>Exit Multiple Source</w:t>
            </w:r>
          </w:p>
        </w:tc>
        <w:tc>
          <w:tcPr>
            <w:tcW w:type="dxa" w:w="4320"/>
          </w:tcPr>
          <w:p>
            <w:r>
              <w:rPr>
                <w:sz w:val="18"/>
              </w:rPr>
              <w:t>Verifiable comps only: Instructure/Canvas KKR LBO 4.2x ARR (2021, publicly reported); PowerSchool IPO ~6x ARR (2021, S-1 disclosed); Anthology/Blackboard merger (2021, post-compression benchmark). Turnitin/Advance Publications 2014 deal terms were never publicly disclosed — removed as comp. PitchBook Academic Software Index does not exist as a named product; citation replaced with Bain Global M&amp;A Report 2023 and Dealroom EdTech Europe Q4 2023.</w:t>
            </w:r>
          </w:p>
        </w:tc>
      </w:tr>
      <w:tr>
        <w:tc>
          <w:tcPr>
            <w:tcW w:type="dxa" w:w="4320"/>
          </w:tcPr>
          <w:p>
            <w:r>
              <w:rPr>
                <w:b/>
                <w:sz w:val="18"/>
              </w:rPr>
              <w:t>Eu Ai Act Systematic Discount</w:t>
            </w:r>
          </w:p>
        </w:tc>
        <w:tc>
          <w:tcPr>
            <w:tcW w:type="dxa" w:w="4320"/>
          </w:tcPr>
          <w:p>
            <w:r>
              <w:rPr>
                <w:sz w:val="18"/>
              </w:rPr>
              <w:t>EU AI Act compliance costs (Article 6 high-risk classification risk, audit obligations, conformity assessment) reduce acquirer synergy value in all three scenarios. Applied as -0.5x discount vs. equivalent US-market SaaS asset across bear/base/bull. This is a structural feature of EU geography, not a bear-only condition.</w:t>
            </w:r>
          </w:p>
        </w:tc>
      </w:tr>
      <w:tr>
        <w:tc>
          <w:tcPr>
            <w:tcW w:type="dxa" w:w="4320"/>
          </w:tcPr>
          <w:p>
            <w:r>
              <w:rPr>
                <w:b/>
                <w:sz w:val="18"/>
              </w:rPr>
              <w:t>Exit Valuation Scenarios</w:t>
            </w:r>
          </w:p>
        </w:tc>
        <w:tc>
          <w:tcPr>
            <w:tcW w:type="dxa" w:w="4320"/>
          </w:tcPr>
          <w:p>
            <w:r>
              <w:rPr>
                <w:sz w:val="18"/>
              </w:rPr>
              <w:t>{'bear': {'arr_at_exit': '€1.2M', 'arr_check': '15 institutions x €80K avg ACV = €1.2M. Correct.', 'multiple': '3x', 'enterprise_value': '€3.6M', 'condition': '15 institutions at €80K avg ACV. 3x: EU AI Act compliance burden maximum, low NRR, no competitive bidding. Equivalent US asset would price at 3.5x; EU discount applied consistently.', 'eu_ai_act_applied': True}, 'base': {'arr_at_exit': '€2.5M', 'arr_check': '30 institutions x ~€83K avg ACV = €2.49M ≈ €2.5M. Correct.', 'multiple': '3.5x', 'enterprise_value': '€8.75M', 'condition': '30 institutions at €83K avg ACV. 3.5x: audit-trail IP and multi-year contracts justify modest premium; EU AI Act risk partially offset by compliance moat. Multiple reduced from draft 4x to reflect systematic EU discount.', 'eu_ai_act_applied': True}, 'bull': {'arr_at_exit': '€4.51M', 'arr_check': '55 institutions x €82K avg ACV = €4.51M. Rounded to €4.5M in narrative.', 'multiple': '4.5x', 'enterprise_value': '€20.25M', 'condition': '55 institutions at €82K avg ACV. 4.5x: competitive tension from PE roll-up acquirers (e.g., Hg Capital academic software portfolio, Francisco Partners EdTech roll-up) bidding against strategic acquirers. Reduced from draft 5x; no named strategic bidder pair identified. PE roll-up category creates credible second-bid floor without requiring two named strategics.', 'competitive_tension_basis': 'PE roll-up acquirers (Hg Capital, Francisco Partners) active in academic SaaS at €15M–€30M EV range. Provides genuine second-bid category. No simultaneous strategic bidding assumed.', 'eu_ai_act_applied': True}}</w:t>
            </w:r>
          </w:p>
        </w:tc>
      </w:tr>
      <w:tr>
        <w:tc>
          <w:tcPr>
            <w:tcW w:type="dxa" w:w="4320"/>
          </w:tcPr>
          <w:p>
            <w:r>
              <w:rPr>
                <w:b/>
                <w:sz w:val="18"/>
              </w:rPr>
              <w:t>Secondary Path</w:t>
            </w:r>
          </w:p>
        </w:tc>
        <w:tc>
          <w:tcPr>
            <w:tcW w:type="dxa" w:w="4320"/>
          </w:tcPr>
          <w:p>
            <w:r>
              <w:rPr>
                <w:sz w:val="18"/>
              </w:rPr>
              <w:t>Management buyout or PE recapitalization if ARR reaches €1.5M–€2M EBITDA-positive. At that scale cash generation supports debt service without strategic buyer dependency.</w:t>
            </w:r>
          </w:p>
        </w:tc>
      </w:tr>
      <w:tr>
        <w:tc>
          <w:tcPr>
            <w:tcW w:type="dxa" w:w="4320"/>
          </w:tcPr>
          <w:p>
            <w:r>
              <w:rPr>
                <w:b/>
                <w:sz w:val="18"/>
              </w:rPr>
              <w:t>Tertiary Path</w:t>
            </w:r>
          </w:p>
        </w:tc>
        <w:tc>
          <w:tcPr>
            <w:tcW w:type="dxa" w:w="4320"/>
          </w:tcPr>
          <w:p>
            <w:r>
              <w:rPr>
                <w:sz w:val="18"/>
              </w:rPr>
              <w:t>IPO ruled out. EU addressable TAM ~€180M implies €36M–€54M ARR ceiling at 20–30% share — unreachable in this model. US expansion is the only path to IPO-viable scale (~€50M+ ARR). US expansion is excluded from this model for the following documented reasons: (1) US higher-ed procurement cycles require dedicated sales infrastructure (est. €1.5M+ additional capital not in current raise); (2) competitive moat based on EU regulatory compliance audit-trail does not transfer directly to US market which lacks equivalent AI Act framework; (3) current fund size targets EU pilot validation only — US expansion requires a separate Series B mandate. IPO remains theoretically available if a future financing round explicitly funds US entry. Flagged as out-of-scope for this funding round.</w:t>
            </w:r>
          </w:p>
        </w:tc>
      </w:tr>
      <w:tr>
        <w:tc>
          <w:tcPr>
            <w:tcW w:type="dxa" w:w="4320"/>
          </w:tcPr>
          <w:p>
            <w:r>
              <w:rPr>
                <w:b/>
                <w:sz w:val="18"/>
              </w:rPr>
              <w:t>Confidence</w:t>
            </w:r>
          </w:p>
        </w:tc>
        <w:tc>
          <w:tcPr>
            <w:tcW w:type="dxa" w:w="4320"/>
          </w:tcPr>
          <w:p>
            <w:r>
              <w:rPr>
                <w:sz w:val="18"/>
              </w:rPr>
              <w:t>LOW — zero buyer interviews conducted with named acquirers, no LOI or M&amp;A signal, all valuations apply modeled not demonstrated ARR, Ripeta overlap at Digital Science unresolved.</w:t>
            </w:r>
          </w:p>
        </w:tc>
      </w:tr>
    </w:tbl>
    <w:p/>
    <w:p>
      <w:pPr>
        <w:pStyle w:val="Heading2"/>
      </w:pPr>
      <w:r>
        <w:rPr>
          <w:color w:val="10B981"/>
        </w:rPr>
        <w:t>▶ Cap Table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Pre Seed</w:t>
            </w:r>
          </w:p>
        </w:tc>
        <w:tc>
          <w:tcPr>
            <w:tcW w:type="dxa" w:w="4320"/>
          </w:tcPr>
          <w:p>
            <w:r>
              <w:rPr>
                <w:sz w:val="18"/>
              </w:rPr>
              <w:t>{'round_label': 'Pre-Seed / Friends &amp; Family', 'timing': 'Year 0 (now)', 'amount_raised': '€150K–€250K', 'pre_money_valuation': '€600K–€900K', 'post_money_valuation': '€750K–€1.15M', 'instrument': 'SAFE or convertible note, 20% discount, €4M cap', 'shares': {'founders_range': '75–80%', 'founders_note': '80% only at minimum dilution scenario (12% investors + 8% ESOP). At mid-range (13.5% + 9%) founders hold 77.5%. At maximum (15% + 10%) founders hold 75%. Single figure 80% was misleading; correct range is 75–80%.', 'pre_seed_investors': '12–15%', 'esop_reserved': '8–10%', 'sum_check_min': '80% + 12% + 8% = 100%. Correct.', 'sum_check_max': '75% + 15% + 10% = 100%. Correct.', 'binding_constraint': 'Founder floor of 75% binds at maximum investor + ESOP allocation. ESOP and investor ranges cannot simultaneously be at maximum without reducing founder share below 75%.'}}</w:t>
            </w:r>
          </w:p>
        </w:tc>
      </w:tr>
      <w:tr>
        <w:tc>
          <w:tcPr>
            <w:tcW w:type="dxa" w:w="4320"/>
          </w:tcPr>
          <w:p>
            <w:r>
              <w:rPr>
                <w:b/>
                <w:sz w:val="18"/>
              </w:rPr>
              <w:t>Pre Seed To Seed Pilot Milestone</w:t>
            </w:r>
          </w:p>
        </w:tc>
        <w:tc>
          <w:tcPr>
            <w:tcW w:type="dxa" w:w="4320"/>
          </w:tcPr>
          <w:p>
            <w:r>
              <w:rPr>
                <w:sz w:val="18"/>
              </w:rPr>
              <w:t>{'label': 'Pilot Gate (between Pre-Seed and Seed)', 'required_before_seed_raise': True, 'milestone_definition': '1–2 institutions complete defined evaluation period (minimum 90 days active use, minimum 20 researcher users per institution). Pilot may be paid (€5K–€15K) or unpaid. Pilot must generate retention and usage data. LOIs at seed stage must be conditional on completed pilot, not substitutes for product evidence.', 'rationale': 'Institutional procurement offices do not sign LOIs for non-existent products, particularly under EU AI Act scrutiny requiring conformity evidence. Pre-seed funds pilot build; seed raise requires demonstrated product-market fit data from pilot completion.', 'deliverables': 'Pilot completion report, usage metrics, at least 1 institutional reference contact willing to speak to investors'}</w:t>
            </w:r>
          </w:p>
        </w:tc>
      </w:tr>
      <w:tr>
        <w:tc>
          <w:tcPr>
            <w:tcW w:type="dxa" w:w="4320"/>
          </w:tcPr>
          <w:p>
            <w:r>
              <w:rPr>
                <w:b/>
                <w:sz w:val="18"/>
              </w:rPr>
              <w:t>Seed</w:t>
            </w:r>
          </w:p>
        </w:tc>
        <w:tc>
          <w:tcPr>
            <w:tcW w:type="dxa" w:w="4320"/>
          </w:tcPr>
          <w:p>
            <w:r>
              <w:rPr>
                <w:sz w:val="18"/>
              </w:rPr>
              <w:t>{'round_label': 'Seed', 'timing': 'Year 1 (post-pilot completion and evaluation data, minimum 1–2 completed pilots required; LOIs conditional on pilot results, not vaporware commitments)', 'amount_raised': '€500K–€750K', 'pre_money_valuation': '€2.5M–€3.5M', 'post_money_valuation': '€3M–€4.25M', 'instrument': 'Priced equity', 'dilution_this_round': '16–20%', 'shares_post_round': {'founders': '63–67%', 'pre_seed_investors': '10–12%', 'seed_investors': '16–20%', 'esop': '8–10%', 'sum_check_min': '63% + 10% + 16% + 8% = 97%. Note: 3% slack represents rounding across ranges; mid-point closes at 100%.', 'sum_check_max': '67% + 12% + 20% + 10% = 109%. Ranges are independent bands not simultaneous maxima — use scenario-specific point estimates for binding calculations.'}, 'valuation_rationale': '€2.5M–€3.5M pre-money. No product artifact at pre-seed, so 10x ARR forward multiple cannot apply. Comparable concept-to-pilot-stage EU EdTech SaaS raised €2M–€4M pre-money 2022–2023 per Dealroom EU EdTech Seed Report 2023. Pilot data upgrades valuation toward upper bound.'}</w:t>
            </w:r>
          </w:p>
        </w:tc>
      </w:tr>
      <w:tr>
        <w:tc>
          <w:tcPr>
            <w:tcW w:type="dxa" w:w="4320"/>
          </w:tcPr>
          <w:p>
            <w:r>
              <w:rPr>
                <w:b/>
                <w:sz w:val="18"/>
              </w:rPr>
              <w:t>Series A</w:t>
            </w:r>
          </w:p>
        </w:tc>
        <w:tc>
          <w:tcPr>
            <w:tcW w:type="dxa" w:w="4320"/>
          </w:tcPr>
          <w:p>
            <w:r>
              <w:rPr>
                <w:sz w:val="18"/>
              </w:rPr>
              <w:t>{'round_label': 'Series A', 'timing': 'Year 2–3 (trigger: €400K+ ARR, 8+ institutional contracts, EU AI Act classification resolved, pilot cohort NRR measured)', 'amount_raised': '€1.5M–€2.5M', 'pre_money_valuation': '€6M–€10M', 'post_money_valuation': '€7.5M–€12.5M', 'instrument': 'Priced equity', 'dilution_this_round': '20–25%', 'shares_post_round': {'founders': '47–54%', 'pre_seed_investors': '7–9%', 'seed_investors': '12–15%', 'series_a_investors': '20–25%', 'esop': '8–10%'}, 'valuation_rationale': '€6M pre-money floor: €400K ARR x 15x forward multiple. Upper €10M requires NRR &gt;110% demonstrated. Institutional multi-year contracts justify 1.2–1.5x premium per PitchBook 2023 SaaS comps database (institutional contract premium, not Academic Software Index which does not exist as named product).'}</w:t>
            </w:r>
          </w:p>
        </w:tc>
      </w:tr>
    </w:tbl>
    <w:p/>
    <w:p>
      <w:pPr>
        <w:pStyle w:val="Heading2"/>
      </w:pPr>
      <w:r>
        <w:rPr>
          <w:color w:val="10B981"/>
        </w:rPr>
        <w:t>▶ Funding Strategy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Total Capital Required To Exit</w:t>
            </w:r>
          </w:p>
        </w:tc>
        <w:tc>
          <w:tcPr>
            <w:tcW w:type="dxa" w:w="4320"/>
          </w:tcPr>
          <w:p>
            <w:r>
              <w:rPr>
                <w:sz w:val="18"/>
              </w:rPr>
              <w:t>€2.2M–€3.5M across all rounds</w:t>
            </w:r>
          </w:p>
        </w:tc>
      </w:tr>
      <w:tr>
        <w:tc>
          <w:tcPr>
            <w:tcW w:type="dxa" w:w="4320"/>
          </w:tcPr>
          <w:p>
            <w:r>
              <w:rPr>
                <w:b/>
                <w:sz w:val="18"/>
              </w:rPr>
              <w:t>Rationale</w:t>
            </w:r>
          </w:p>
        </w:tc>
        <w:tc>
          <w:tcPr>
            <w:tcW w:type="dxa" w:w="4320"/>
          </w:tcPr>
          <w:p>
            <w:r>
              <w:rPr>
                <w:sz w:val="18"/>
              </w:rPr>
              <w:t>Section 4 models burn of €280K–€350K Year 1, €420K–€550K Year 2, €600K–€800K Year 3. Pre-seed covers pilot build. Seed covers first commercial contracts. Series A covers scale to exit-relevant ARR. No US expansion capital modeled — US entry would require separate Series B not in scope.</w:t>
            </w:r>
          </w:p>
        </w:tc>
      </w:tr>
      <w:tr>
        <w:tc>
          <w:tcPr>
            <w:tcW w:type="dxa" w:w="4320"/>
          </w:tcPr>
          <w:p>
            <w:r>
              <w:rPr>
                <w:b/>
                <w:sz w:val="18"/>
              </w:rPr>
              <w:t>Key Milestones By Round</w:t>
            </w:r>
          </w:p>
        </w:tc>
        <w:tc>
          <w:tcPr>
            <w:tcW w:type="dxa" w:w="4320"/>
          </w:tcPr>
          <w:p>
            <w:r>
              <w:rPr>
                <w:sz w:val="18"/>
              </w:rPr>
              <w:t>{'pre_seed': 'MVP build, 1–2 pilot institutions recruited, pilot framework designed', 'pilot_gate': '1–2 pilots completed, usage/retention data collected, reference customers secured', 'seed': '3+ signed contracts post-pilot, €100K+ ARR, product-market fit evidence', 'series_a': '€400K+ ARR, 8+ contracts, EU AI Act classification resolved, NRR measured'}</w:t>
            </w:r>
          </w:p>
        </w:tc>
      </w:tr>
    </w:tbl>
    <w:p/>
    <w:p>
      <w:pPr>
        <w:pStyle w:val="Heading2"/>
      </w:pPr>
      <w:r>
        <w:rPr>
          <w:color w:val="10B981"/>
        </w:rPr>
        <w:t>▶ Investor Returns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Methodology</w:t>
            </w:r>
          </w:p>
        </w:tc>
        <w:tc>
          <w:tcPr>
            <w:tcW w:type="dxa" w:w="4320"/>
          </w:tcPr>
          <w:p>
            <w:r>
              <w:rPr>
                <w:sz w:val="18"/>
              </w:rPr>
              <w:t>Returns calculated on Series A investors entering at €10M pre-money mid-point, holding to exit. Pre-seed and seed returns modeled at respective entry valuations. All scenarios apply systematic EU AI Act discount to multiples.</w:t>
            </w:r>
          </w:p>
        </w:tc>
      </w:tr>
      <w:tr>
        <w:tc>
          <w:tcPr>
            <w:tcW w:type="dxa" w:w="4320"/>
          </w:tcPr>
          <w:p>
            <w:r>
              <w:rPr>
                <w:b/>
                <w:sz w:val="18"/>
              </w:rPr>
              <w:t>Pre Seed Returns</w:t>
            </w:r>
          </w:p>
        </w:tc>
        <w:tc>
          <w:tcPr>
            <w:tcW w:type="dxa" w:w="4320"/>
          </w:tcPr>
          <w:p>
            <w:r>
              <w:rPr>
                <w:sz w:val="18"/>
              </w:rPr>
              <w:t>{'entry_valuation': '€750K–€1.15M post-money', 'bear_exit_ev': '€3.6M', 'bear_return_multiple': '3.1–4.8x on invested capital', 'base_exit_ev': '€8.75M', 'base_return_multiple': '7.6–11.7x on invested capital', 'bull_exit_ev': '€20.25M', 'bull_return_multiple': '17.6–27x on invested capital', 'note': 'Pre-dilution from seed and Series A reduces effective ownership at exit. Gross multiples shown; net multiples 15–25% lower after downstream dilution.'}</w:t>
            </w:r>
          </w:p>
        </w:tc>
      </w:tr>
      <w:tr>
        <w:tc>
          <w:tcPr>
            <w:tcW w:type="dxa" w:w="4320"/>
          </w:tcPr>
          <w:p>
            <w:r>
              <w:rPr>
                <w:b/>
                <w:sz w:val="18"/>
              </w:rPr>
              <w:t>Seed Returns</w:t>
            </w:r>
          </w:p>
        </w:tc>
        <w:tc>
          <w:tcPr>
            <w:tcW w:type="dxa" w:w="4320"/>
          </w:tcPr>
          <w:p>
            <w:r>
              <w:rPr>
                <w:sz w:val="18"/>
              </w:rPr>
              <w:t>{'entry_valuation': '€3M–€4.25M post-money', 'bear_exit_ev': '€3.6M', 'bear_return_multiple': '0.85–1.2x — near break-even, capital at risk', 'base_exit_ev': '€8.75M', 'base_return_multiple': '2.1–2.9x on invested capital', 'bull_exit_ev': '€20.25M', 'bull_return_multiple': '4.8–6.75x on invested capital'}</w:t>
            </w:r>
          </w:p>
        </w:tc>
      </w:tr>
      <w:tr>
        <w:tc>
          <w:tcPr>
            <w:tcW w:type="dxa" w:w="4320"/>
          </w:tcPr>
          <w:p>
            <w:r>
              <w:rPr>
                <w:b/>
                <w:sz w:val="18"/>
              </w:rPr>
              <w:t>Series A Returns</w:t>
            </w:r>
          </w:p>
        </w:tc>
        <w:tc>
          <w:tcPr>
            <w:tcW w:type="dxa" w:w="4320"/>
          </w:tcPr>
          <w:p>
            <w:r>
              <w:rPr>
                <w:sz w:val="18"/>
              </w:rPr>
              <w:t>{'entry_valuation': '€7.5M–€12.5M post-money', 'bear_exit_ev': '€3.6M', 'bear_return_multiple': '0.29–0.48x — loss scenario', 'base_exit_ev': '€8.75M', 'base_return_multiple': '0.7–1.17x — marginal return', 'bull_exit_ev': '€20.25M', 'bull_return_multiple': '1.62–2.7x on invested capital', 'note': 'Series A investors face meaningful loss in bear and marginal return in base. Bull scenario required for acceptable VC return. Series A terms should include liquidation preference to protect downside.'}</w:t>
            </w:r>
          </w:p>
        </w:tc>
      </w:tr>
      <w:tr>
        <w:tc>
          <w:tcPr>
            <w:tcW w:type="dxa" w:w="4320"/>
          </w:tcPr>
          <w:p>
            <w:r>
              <w:rPr>
                <w:b/>
                <w:sz w:val="18"/>
              </w:rPr>
              <w:t>Irr Estimates</w:t>
            </w:r>
          </w:p>
        </w:tc>
        <w:tc>
          <w:tcPr>
            <w:tcW w:type="dxa" w:w="4320"/>
          </w:tcPr>
          <w:p>
            <w:r>
              <w:rPr>
                <w:sz w:val="18"/>
              </w:rPr>
              <w:t>{'assumption': '7-year hold from Series A to exit', 'bear_irr': 'Negative for Series A; ~8–12% for seed; ~15–20% for pre-seed', 'base_irr': '~0–5% Series A; ~12–18% seed; ~25–35% pre-seed', 'bull_irr': '~8–14% Series A; ~22–30% seed; ~45–60% pre-seed'}</w:t>
            </w:r>
          </w:p>
        </w:tc>
      </w:tr>
    </w:tbl>
    <w:p/>
    <w:p>
      <w:pPr>
        <w:pStyle w:val="Heading2"/>
      </w:pPr>
      <w:r>
        <w:rPr>
          <w:color w:val="10B981"/>
        </w:rPr>
        <w:t>▶ Dilution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Founder Dilution Path</w:t>
            </w:r>
          </w:p>
        </w:tc>
        <w:tc>
          <w:tcPr>
            <w:tcW w:type="dxa" w:w="4320"/>
          </w:tcPr>
          <w:p>
            <w:r>
              <w:rPr>
                <w:sz w:val="18"/>
              </w:rPr>
              <w:t>{'pre_seed_close': '75–80% (range, not single figure — see cap table fix)', 'seed_close': '63–67%', 'series_a_close': '47–54%', 'at_exit': '42–50% assuming 5–8% additional option grants between Series A and exit'}</w:t>
            </w:r>
          </w:p>
        </w:tc>
      </w:tr>
      <w:tr>
        <w:tc>
          <w:tcPr>
            <w:tcW w:type="dxa" w:w="4320"/>
          </w:tcPr>
          <w:p>
            <w:r>
              <w:rPr>
                <w:b/>
                <w:sz w:val="18"/>
              </w:rPr>
              <w:t>Dilution Risk Flags</w:t>
            </w:r>
          </w:p>
        </w:tc>
        <w:tc>
          <w:tcPr>
            <w:tcW w:type="dxa" w:w="4320"/>
          </w:tcPr>
          <w:p>
            <w:r>
              <w:rPr>
                <w:sz w:val="18"/>
              </w:rPr>
              <w:t>['Series A 20–25% dilution at low ARR (€400K) compresses founder ownership significantly — negotiate valuation ceiling not floor', 'ESOP 8–10% reserved but unissued; issuance triggers dilution event not modeled in post-round tables', 'Down-round risk if pilot data is weak: seed valuation of €2.5M–€3.5M requires pilot evidence to defend', 'EU AI Act compliance costs may require unmodeled bridge round, adding dilution not shown here']</w:t>
            </w:r>
          </w:p>
        </w:tc>
      </w:tr>
    </w:tbl>
    <w:p/>
    <w:p>
      <w:pPr>
        <w:pStyle w:val="Heading2"/>
      </w:pPr>
      <w:r>
        <w:rPr>
          <w:color w:val="10B981"/>
        </w:rPr>
        <w:t>▶ Exit Risks</w:t>
      </w:r>
    </w:p>
    <w:p>
      <w:r>
        <w:rPr>
          <w:color w:val="2563EB"/>
        </w:rPr>
        <w:t xml:space="preserve">• </w:t>
      </w:r>
      <w:r>
        <w:rPr>
          <w:sz w:val="20"/>
        </w:rPr>
        <w:t>Digital Science Ripeta performs methods-reproducibility and reporting checks. If EpistemicOS cannot demonstrate inferential QA depth exceeding Ripeta, Digital Science acquirer thesis fails. Eliminates one of four named acquirers.</w:t>
      </w:r>
    </w:p>
    <w:p>
      <w:r>
        <w:rPr>
          <w:color w:val="2563EB"/>
        </w:rPr>
        <w:t xml:space="preserve">• </w:t>
      </w:r>
      <w:r>
        <w:rPr>
          <w:sz w:val="20"/>
        </w:rPr>
        <w:t>€3.6M–€20.25M EV is sub-material for Clarivate (market cap ~$4B) and Elsevier (Relx division). May not reach investment committee threshold. PE roll-up buyers (bull scenario) are more realistic exit path at this scale.</w:t>
      </w:r>
    </w:p>
    <w:p>
      <w:r>
        <w:rPr>
          <w:color w:val="2563EB"/>
        </w:rPr>
        <w:t xml:space="preserve">• </w:t>
      </w:r>
      <w:r>
        <w:rPr>
          <w:sz w:val="20"/>
        </w:rPr>
        <w:t>If EpistemicOS is classified as high-risk AI system under Article 6, conformity assessment, audit obligations, and documentation requirements add €100K–€300K compliance cost and reduce acquirer synergy value. Applied as systematic multiple discount across all scenarios.</w:t>
      </w:r>
    </w:p>
    <w:p>
      <w:r>
        <w:rPr>
          <w:color w:val="2563EB"/>
        </w:rPr>
        <w:t xml:space="preserve">• </w:t>
      </w:r>
      <w:r>
        <w:rPr>
          <w:sz w:val="20"/>
        </w:rPr>
        <w:t>Original draft had no intermediate proof-of-concept stage. Fixed by inserting pilot gate. If pilot institutions cannot be recruited or pilots fail, seed raise is not credible.</w:t>
      </w:r>
    </w:p>
    <w:p>
      <w:r>
        <w:rPr>
          <w:color w:val="2563EB"/>
        </w:rPr>
        <w:t xml:space="preserve">• </w:t>
      </w:r>
      <w:r>
        <w:rPr>
          <w:sz w:val="20"/>
        </w:rPr>
        <w:t>If interest rates remain elevated or SaaS M&amp;A compresses further, 3x floor may become 2x. Bear scenario EV falls to €2.4M at 2x, potentially below total capital invested.</w:t>
      </w:r>
    </w:p>
    <w:p>
      <w:r>
        <w:rPr>
          <w:color w:val="2563EB"/>
        </w:rPr>
        <w:t xml:space="preserve">• </w:t>
      </w:r>
      <w:r>
        <w:rPr>
          <w:sz w:val="20"/>
        </w:rPr>
        <w:t>Turnitin 2014 comp removed (undisclosed terms). Remaining comps (Instructure, PowerSchool) are 2021 vintage at peak multiples. Post-2022 compression comps in academic SaaS specifically are sparse.</w:t>
      </w:r>
    </w:p>
    <w:p/>
    <w:p>
      <w:pPr>
        <w:pStyle w:val="Heading2"/>
      </w:pPr>
      <w:r>
        <w:t>💡 Key Assumptions</w:t>
      </w:r>
    </w:p>
    <w:p>
      <w:r>
        <w:rPr>
          <w:color w:val="10B981"/>
        </w:rPr>
        <w:t xml:space="preserve">▸ </w:t>
      </w:r>
      <w:r>
        <w:rPr>
          <w:sz w:val="20"/>
        </w:rPr>
        <w:t>EU AI Act systematic multiple discount of -0.5x vs. equivalent US SaaS asset applied across all scenarios</w:t>
      </w:r>
    </w:p>
    <w:p>
      <w:r>
        <w:rPr>
          <w:color w:val="10B981"/>
        </w:rPr>
        <w:t xml:space="preserve">▸ </w:t>
      </w:r>
      <w:r>
        <w:rPr>
          <w:sz w:val="20"/>
        </w:rPr>
        <w:t>Pilot gate defined: 1–2 institutions, 90-day minimum, 20+ users per institution, usage/retention data required before seed raise</w:t>
      </w:r>
    </w:p>
    <w:p>
      <w:r>
        <w:rPr>
          <w:color w:val="10B981"/>
        </w:rPr>
        <w:t xml:space="preserve">▸ </w:t>
      </w:r>
      <w:r>
        <w:rPr>
          <w:sz w:val="20"/>
        </w:rPr>
        <w:t>Digital Science Ripeta acknowledged as functional overlap; DS removed as primary acquirer pending differentiation documentation</w:t>
      </w:r>
    </w:p>
    <w:p>
      <w:r>
        <w:rPr>
          <w:color w:val="10B981"/>
        </w:rPr>
        <w:t xml:space="preserve">▸ </w:t>
      </w:r>
      <w:r>
        <w:rPr>
          <w:sz w:val="20"/>
        </w:rPr>
        <w:t>Turnitin 2014 acquisition comp removed — deal terms never publicly disclosed</w:t>
      </w:r>
    </w:p>
    <w:p>
      <w:r>
        <w:rPr>
          <w:color w:val="10B981"/>
        </w:rPr>
        <w:t xml:space="preserve">▸ </w:t>
      </w:r>
      <w:r>
        <w:rPr>
          <w:sz w:val="20"/>
        </w:rPr>
        <w:t>PitchBook Academic Software Index citation replaced with Bain Global M&amp;A Report 2023 and Dealroom EdTech Europe Q4 2023</w:t>
      </w:r>
    </w:p>
    <w:p>
      <w:r>
        <w:rPr>
          <w:color w:val="10B981"/>
        </w:rPr>
        <w:t xml:space="preserve">▸ </w:t>
      </w:r>
      <w:r>
        <w:rPr>
          <w:sz w:val="20"/>
        </w:rPr>
        <w:t>Competitive bidding premium in bull scenario based on PE roll-up category (Hg Capital, Francisco Partners), not simultaneous strategic bidding</w:t>
      </w:r>
    </w:p>
    <w:p>
      <w:r>
        <w:rPr>
          <w:color w:val="10B981"/>
        </w:rPr>
        <w:t xml:space="preserve">▸ </w:t>
      </w:r>
      <w:r>
        <w:rPr>
          <w:sz w:val="20"/>
        </w:rPr>
        <w:t>Bull multiple reduced from 5x to 4.5x to reflect absence of identified named competing strategic bidder</w:t>
      </w:r>
    </w:p>
    <w:p>
      <w:r>
        <w:rPr>
          <w:color w:val="10B981"/>
        </w:rPr>
        <w:t xml:space="preserve">▸ </w:t>
      </w:r>
      <w:r>
        <w:rPr>
          <w:sz w:val="20"/>
        </w:rPr>
        <w:t>Base multiple reduced from 4x to 3.5x to reflect consistent EU AI Act discount application</w:t>
      </w:r>
    </w:p>
    <w:p>
      <w:r>
        <w:rPr>
          <w:color w:val="10B981"/>
        </w:rPr>
        <w:t xml:space="preserve">▸ </w:t>
      </w:r>
      <w:r>
        <w:rPr>
          <w:sz w:val="20"/>
        </w:rPr>
        <w:t>Founder ownership expressed as range 75–80% not single figure 80%; range endpoints verified to sum to 100%</w:t>
      </w:r>
    </w:p>
    <w:p>
      <w:r>
        <w:rPr>
          <w:color w:val="10B981"/>
        </w:rPr>
        <w:t xml:space="preserve">▸ </w:t>
      </w:r>
      <w:r>
        <w:rPr>
          <w:sz w:val="20"/>
        </w:rPr>
        <w:t>US expansion excluded from model: dedicated sales infrastructure cost est. €1.5M+, EU compliance moat does not transfer, current fund targets EU only</w:t>
      </w:r>
    </w:p>
    <w:p>
      <w:r>
        <w:rPr>
          <w:color w:val="10B981"/>
        </w:rPr>
        <w:t xml:space="preserve">▸ </w:t>
      </w:r>
      <w:r>
        <w:rPr>
          <w:sz w:val="20"/>
        </w:rPr>
        <w:t>All exit valuations apply modeled ARR not demonstrated ARR — confidence LOW throughout</w:t>
      </w:r>
    </w:p>
    <w:p/>
    <w:p>
      <w:pPr>
        <w:pStyle w:val="Heading2"/>
      </w:pPr>
      <w:r>
        <w:t>⚠️  Uncertainties</w:t>
      </w:r>
    </w:p>
    <w:p>
      <w:pPr>
        <w:shd w:fill="fefce8"/>
      </w:pPr>
      <w:r>
        <w:rPr>
          <w:i/>
          <w:color w:val="F59E0B"/>
          <w:sz w:val="20"/>
        </w:rPr>
        <w:t>• No buyer interviews conducted; acquirer gap thesis unvalidated for Clarivate and Elsevier</w:t>
      </w:r>
    </w:p>
    <w:p>
      <w:pPr>
        <w:shd w:fill="fefce8"/>
      </w:pPr>
      <w:r>
        <w:rPr>
          <w:i/>
          <w:color w:val="F59E0B"/>
          <w:sz w:val="20"/>
        </w:rPr>
        <w:t>• Ripeta vs. EpistemicOS functional differentiation not yet documented — Digital Science acquirer thesis unresolved</w:t>
      </w:r>
    </w:p>
    <w:p>
      <w:pPr>
        <w:shd w:fill="fefce8"/>
      </w:pPr>
      <w:r>
        <w:rPr>
          <w:i/>
          <w:color w:val="F59E0B"/>
          <w:sz w:val="20"/>
        </w:rPr>
        <w:t>• EU AI Act classification outcome unknown; high-risk classification would materially affect multiple and compliance cost</w:t>
      </w:r>
    </w:p>
    <w:p>
      <w:pPr>
        <w:shd w:fill="fefce8"/>
      </w:pPr>
      <w:r>
        <w:rPr>
          <w:i/>
          <w:color w:val="F59E0B"/>
          <w:sz w:val="20"/>
        </w:rPr>
        <w:t>• Pilot institution recruitment not yet initiated; seed milestone depends on institutions not yet committed</w:t>
      </w:r>
    </w:p>
    <w:p>
      <w:pPr>
        <w:shd w:fill="fefce8"/>
      </w:pPr>
      <w:r>
        <w:rPr>
          <w:i/>
          <w:color w:val="F59E0B"/>
          <w:sz w:val="20"/>
        </w:rPr>
        <w:t>• Post-2022 academic SaaS M&amp;A comps sparse; multiple range has high estimation error</w:t>
      </w:r>
    </w:p>
    <w:p>
      <w:pPr>
        <w:shd w:fill="fefce8"/>
      </w:pPr>
      <w:r>
        <w:rPr>
          <w:i/>
          <w:color w:val="F59E0B"/>
          <w:sz w:val="20"/>
        </w:rPr>
        <w:t>• ESOP issuance timing and size not modeled in dilution table — actual founder ownership at exit lower than shown</w:t>
      </w:r>
    </w:p>
    <w:p>
      <w:pPr>
        <w:shd w:fill="fefce8"/>
      </w:pPr>
      <w:r>
        <w:rPr>
          <w:i/>
          <w:color w:val="F59E0B"/>
          <w:sz w:val="20"/>
        </w:rPr>
        <w:t>• PE roll-up acquirer interest in sub-€5M ARR academic SaaS asset unvalidated</w:t>
      </w:r>
    </w:p>
    <w:p>
      <w:pPr>
        <w:shd w:fill="fefce8"/>
      </w:pPr>
      <w:r>
        <w:rPr>
          <w:i/>
          <w:color w:val="F59E0B"/>
          <w:sz w:val="20"/>
        </w:rPr>
        <w:t>• Series A investor returns are marginal in base scenario — may limit Series A fundraising optionality</w:t>
      </w:r>
    </w:p>
    <w:p>
      <w:pPr>
        <w:shd w:fill="fefce8"/>
      </w:pPr>
      <w:r>
        <w:rPr>
          <w:i/>
          <w:color w:val="F59E0B"/>
          <w:sz w:val="20"/>
        </w:rPr>
        <w:t>• Geographic expansion path to IPO-viable scale not modeled; IPO exit optionality remains purely theoretical</w:t>
      </w:r>
    </w:p>
    <w:p/>
    <w:p>
      <w:r>
        <w:br w:type="page"/>
      </w:r>
    </w:p>
    <w:p>
      <w:pPr>
        <w:pStyle w:val="Heading1"/>
      </w:pPr>
      <w:r>
        <w:rPr>
          <w:color w:val="EF4444"/>
        </w:rPr>
        <w:t>🔍 Data Gaps &amp; Knowledge Limitations</w:t>
      </w:r>
    </w:p>
    <w:p>
      <w:pPr>
        <w:shd w:fill="fefce8"/>
      </w:pPr>
      <w:r>
        <w:rPr>
          <w:sz w:val="22"/>
        </w:rPr>
        <w:t>This section aggregates all uncertainties and unresolved challenges identified during the business plan generation. Addressing these gaps would improve the plan's accuracy and confidence.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  Total Uncertainties</w:t>
            </w:r>
          </w:p>
        </w:tc>
        <w:tc>
          <w:tcPr>
            <w:tcW w:type="dxa" w:w="4320"/>
          </w:tcPr>
          <w:p>
            <w:r>
              <w:rPr>
                <w:b/>
                <w:color w:val="EF4444"/>
              </w:rPr>
              <w:t>63</w:t>
            </w:r>
          </w:p>
        </w:tc>
      </w:tr>
      <w:tr>
        <w:tc>
          <w:tcPr>
            <w:tcW w:type="dxa" w:w="4320"/>
          </w:tcPr>
          <w:p>
            <w:r>
              <w:rPr>
                <w:b/>
              </w:rPr>
              <w:t>🚨 Critical Challenges</w:t>
            </w:r>
          </w:p>
        </w:tc>
        <w:tc>
          <w:tcPr>
            <w:tcW w:type="dxa" w:w="4320"/>
          </w:tcPr>
          <w:p>
            <w:r>
              <w:rPr>
                <w:b/>
                <w:color w:val="EF4444"/>
              </w:rPr>
              <w:t>14</w:t>
            </w:r>
          </w:p>
        </w:tc>
      </w:tr>
    </w:tbl>
    <w:p/>
    <w:p>
      <w:pPr>
        <w:pStyle w:val="Heading2"/>
      </w:pPr>
      <w:r>
        <w:t>⚠️  All Uncertainties</w:t>
      </w:r>
    </w:p>
    <w:p>
      <w:pPr>
        <w:shd w:fill="fefce8"/>
      </w:pPr>
      <w:r>
        <w:rPr>
          <w:b/>
          <w:color w:val="2563EB"/>
          <w:sz w:val="18"/>
        </w:rPr>
        <w:t xml:space="preserve">[Opportunity Analysis] </w:t>
      </w:r>
      <w:r>
        <w:rPr>
          <w:i/>
          <w:sz w:val="20"/>
        </w:rPr>
        <w:t>No field evidence validates buyer persona, pain point salience, or WTP; entire ICP is hypothesis-stage</w:t>
      </w:r>
    </w:p>
    <w:p>
      <w:pPr>
        <w:shd w:fill="fefce8"/>
      </w:pPr>
      <w:r>
        <w:rPr>
          <w:b/>
          <w:color w:val="2563EB"/>
          <w:sz w:val="18"/>
        </w:rPr>
        <w:t xml:space="preserve">[Opportunity Analysis] </w:t>
      </w:r>
      <w:r>
        <w:rPr>
          <w:i/>
          <w:sz w:val="20"/>
        </w:rPr>
        <w:t>Claim-validity assessment by AI may not achieve sufficient accuracy to satisfy institutional buyers; 70% kappa threshold is minimum not aspirational</w:t>
      </w:r>
    </w:p>
    <w:p>
      <w:pPr>
        <w:shd w:fill="fefce8"/>
      </w:pPr>
      <w:r>
        <w:rPr>
          <w:b/>
          <w:color w:val="2563EB"/>
          <w:sz w:val="18"/>
        </w:rPr>
        <w:t xml:space="preserve">[Opportunity Analysis] </w:t>
      </w:r>
      <w:r>
        <w:rPr>
          <w:i/>
          <w:sz w:val="20"/>
        </w:rPr>
        <w:t>Competitive gap may be partly filled by tools not surfaced in desktop research (e.g., unpublished internal university tools or emerging AI writing assistants)</w:t>
      </w:r>
    </w:p>
    <w:p>
      <w:pPr>
        <w:shd w:fill="fefce8"/>
      </w:pPr>
      <w:r>
        <w:rPr>
          <w:b/>
          <w:color w:val="2563EB"/>
          <w:sz w:val="18"/>
        </w:rPr>
        <w:t xml:space="preserve">[Opportunity Analysis] </w:t>
      </w:r>
      <w:r>
        <w:rPr>
          <w:i/>
          <w:sz w:val="20"/>
        </w:rPr>
        <w:t>Spain/EU public procurement law may classify EpistemicOS as software requiring formal tender even at EUR 10k; legal confirmation required before Y1 revenue model is viable</w:t>
      </w:r>
    </w:p>
    <w:p>
      <w:pPr>
        <w:shd w:fill="fefce8"/>
      </w:pPr>
      <w:r>
        <w:rPr>
          <w:b/>
          <w:color w:val="2563EB"/>
          <w:sz w:val="18"/>
        </w:rPr>
        <w:t xml:space="preserve">[Opportunity Analysis] </w:t>
      </w:r>
      <w:r>
        <w:rPr>
          <w:i/>
          <w:sz w:val="20"/>
        </w:rPr>
        <w:t>EUR 30k Y1 ARR target assumes 3 private school closes in 9-12 months; any delay in MVP delivery past Month 6 compresses sales cycle fatally</w:t>
      </w:r>
    </w:p>
    <w:p>
      <w:pPr>
        <w:shd w:fill="fefce8"/>
      </w:pPr>
      <w:r>
        <w:rPr>
          <w:b/>
          <w:color w:val="2563EB"/>
          <w:sz w:val="18"/>
        </w:rPr>
        <w:t xml:space="preserve">[Opportunity Analysis] </w:t>
      </w:r>
      <w:r>
        <w:rPr>
          <w:i/>
          <w:sz w:val="20"/>
        </w:rPr>
        <w:t>No verified TAM figure for peer-review software subsegment exists from credible primary sources; beachhead TAM of EUR 5M is defensible but may understate or overstate actual addressable market</w:t>
      </w:r>
    </w:p>
    <w:p>
      <w:pPr>
        <w:shd w:fill="fefce8"/>
      </w:pPr>
      <w:r>
        <w:rPr>
          <w:b/>
          <w:color w:val="2563EB"/>
          <w:sz w:val="18"/>
        </w:rPr>
        <w:t xml:space="preserve">[Opportunity Analysis] </w:t>
      </w:r>
      <w:r>
        <w:rPr>
          <w:i/>
          <w:sz w:val="20"/>
        </w:rPr>
        <w:t>Founder/team capability to build claim-validity NLP/AI infrastructure not assessed in this section; technical feasibility is an open kill condition</w:t>
      </w:r>
    </w:p>
    <w:p>
      <w:pPr>
        <w:shd w:fill="fefce8"/>
      </w:pPr>
      <w:r>
        <w:rPr>
          <w:b/>
          <w:color w:val="2563EB"/>
          <w:sz w:val="18"/>
        </w:rPr>
        <w:t xml:space="preserve">[Environment Research] </w:t>
      </w:r>
      <w:r>
        <w:rPr>
          <w:i/>
          <w:sz w:val="20"/>
        </w:rPr>
        <w:t>AI Act risk classification (high-risk vs. general-purpose) — impacts compliance cost by €50k-250k range</w:t>
      </w:r>
    </w:p>
    <w:p>
      <w:pPr>
        <w:shd w:fill="fefce8"/>
      </w:pPr>
      <w:r>
        <w:rPr>
          <w:b/>
          <w:color w:val="2563EB"/>
          <w:sz w:val="18"/>
        </w:rPr>
        <w:t xml:space="preserve">[Environment Research] </w:t>
      </w:r>
      <w:r>
        <w:rPr>
          <w:i/>
          <w:sz w:val="20"/>
        </w:rPr>
        <w:t>Institutional WTP direction — is €30k assumption 2x reality or 0.5x reality? Requires 10+ buyer interviews</w:t>
      </w:r>
    </w:p>
    <w:p>
      <w:pPr>
        <w:shd w:fill="fefce8"/>
      </w:pPr>
      <w:r>
        <w:rPr>
          <w:b/>
          <w:color w:val="2563EB"/>
          <w:sz w:val="18"/>
        </w:rPr>
        <w:t xml:space="preserve">[Environment Research] </w:t>
      </w:r>
      <w:r>
        <w:rPr>
          <w:i/>
          <w:sz w:val="20"/>
        </w:rPr>
        <w:t>Budget cut effect on adoption — do institutional buyers accelerate tool adoption (efficiency) or defer (preservation)? Market signal unclear</w:t>
      </w:r>
    </w:p>
    <w:p>
      <w:pPr>
        <w:shd w:fill="fefce8"/>
      </w:pPr>
      <w:r>
        <w:rPr>
          <w:b/>
          <w:color w:val="2563EB"/>
          <w:sz w:val="18"/>
        </w:rPr>
        <w:t xml:space="preserve">[Environment Research] </w:t>
      </w:r>
      <w:r>
        <w:rPr>
          <w:i/>
          <w:sz w:val="20"/>
        </w:rPr>
        <w:t>Pilot acquisition playbook — which institutions are high-probability pilots? What incentive unlocks participation without revenue?</w:t>
      </w:r>
    </w:p>
    <w:p>
      <w:pPr>
        <w:shd w:fill="fefce8"/>
      </w:pPr>
      <w:r>
        <w:rPr>
          <w:b/>
          <w:color w:val="2563EB"/>
          <w:sz w:val="18"/>
        </w:rPr>
        <w:t xml:space="preserve">[Environment Research] </w:t>
      </w:r>
      <w:r>
        <w:rPr>
          <w:i/>
          <w:sz w:val="20"/>
        </w:rPr>
        <w:t>Competitive moat defensibility — can proprietary training dataset establish durable advantage vs. public LLM baselines? Timeline unclear</w:t>
      </w:r>
    </w:p>
    <w:p>
      <w:pPr>
        <w:shd w:fill="fefce8"/>
      </w:pPr>
      <w:r>
        <w:rPr>
          <w:b/>
          <w:color w:val="2563EB"/>
          <w:sz w:val="18"/>
        </w:rPr>
        <w:t xml:space="preserve">[Environment Research] </w:t>
      </w:r>
      <w:r>
        <w:rPr>
          <w:i/>
          <w:sz w:val="20"/>
        </w:rPr>
        <w:t>Epistemic validation accuracy measurement — how do you benchmark 'correctness' of claim-evidence assessment? Ground truth definition required</w:t>
      </w:r>
    </w:p>
    <w:p>
      <w:pPr>
        <w:shd w:fill="fefce8"/>
      </w:pPr>
      <w:r>
        <w:rPr>
          <w:b/>
          <w:color w:val="2563EB"/>
          <w:sz w:val="18"/>
        </w:rPr>
        <w:t xml:space="preserve">[Environment Research] </w:t>
      </w:r>
      <w:r>
        <w:rPr>
          <w:i/>
          <w:sz w:val="20"/>
        </w:rPr>
        <w:t>Regulatory enforcement timeline — when does EU AI Act enforcement begin for educational tools? 2026 compliance date unclear</w:t>
      </w:r>
    </w:p>
    <w:p>
      <w:pPr>
        <w:shd w:fill="fefce8"/>
      </w:pPr>
      <w:r>
        <w:rPr>
          <w:b/>
          <w:color w:val="2563EB"/>
          <w:sz w:val="18"/>
        </w:rPr>
        <w:t xml:space="preserve">[Environment Research] </w:t>
      </w:r>
      <w:r>
        <w:rPr>
          <w:i/>
          <w:sz w:val="20"/>
        </w:rPr>
        <w:t>Market adjacencies — can model extend to grant proposals, research planning, or institutional compliance use cases?</w:t>
      </w:r>
    </w:p>
    <w:p>
      <w:pPr>
        <w:shd w:fill="fefce8"/>
      </w:pPr>
      <w:r>
        <w:rPr>
          <w:b/>
          <w:color w:val="2563EB"/>
          <w:sz w:val="18"/>
        </w:rPr>
        <w:t xml:space="preserve">[Organisation Design] </w:t>
      </w:r>
      <w:r>
        <w:rPr>
          <w:i/>
          <w:sz w:val="20"/>
        </w:rPr>
        <w:t>Buyer willingness to pay (WTP) threshold and procurement decision cycle length: 10+ buyer interviews needed to validate €15k–€50k range and 6-month sales cycle assumption</w:t>
      </w:r>
    </w:p>
    <w:p>
      <w:pPr>
        <w:shd w:fill="fefce8"/>
      </w:pPr>
      <w:r>
        <w:rPr>
          <w:b/>
          <w:color w:val="2563EB"/>
          <w:sz w:val="18"/>
        </w:rPr>
        <w:t xml:space="preserve">[Organisation Design] </w:t>
      </w:r>
      <w:r>
        <w:rPr>
          <w:i/>
          <w:sz w:val="20"/>
        </w:rPr>
        <w:t>Product accuracy benchmark feasibility: unknown if Fleiss' kappa ≥0.65 achievable; journal partnership and senior-reviewer panel required by Month 4 to validate or descope</w:t>
      </w:r>
    </w:p>
    <w:p>
      <w:pPr>
        <w:shd w:fill="fefce8"/>
      </w:pPr>
      <w:r>
        <w:rPr>
          <w:b/>
          <w:color w:val="2563EB"/>
          <w:sz w:val="18"/>
        </w:rPr>
        <w:t xml:space="preserve">[Organisation Design] </w:t>
      </w:r>
      <w:r>
        <w:rPr>
          <w:i/>
          <w:sz w:val="20"/>
        </w:rPr>
        <w:t>Institutional security certification lift: unknown whether pilot schools require SOC 2 Type II (not just Type I) or ISO 27001 full certification; CIO questionnaire responses Month 3–4 will clarify</w:t>
      </w:r>
    </w:p>
    <w:p>
      <w:pPr>
        <w:shd w:fill="fefce8"/>
      </w:pPr>
      <w:r>
        <w:rPr>
          <w:b/>
          <w:color w:val="2563EB"/>
          <w:sz w:val="18"/>
        </w:rPr>
        <w:t xml:space="preserve">[Organisation Design] </w:t>
      </w:r>
      <w:r>
        <w:rPr>
          <w:i/>
          <w:sz w:val="20"/>
        </w:rPr>
        <w:t>Regulatory classification risk: EU AI Act Annex III high-risk trigger possible if system influences research funding/hiring decisions; legal assessment needed Month 1 to assess compliance burden and timeline impact</w:t>
      </w:r>
    </w:p>
    <w:p>
      <w:pPr>
        <w:shd w:fill="fefce8"/>
      </w:pPr>
      <w:r>
        <w:rPr>
          <w:b/>
          <w:color w:val="2563EB"/>
          <w:sz w:val="18"/>
        </w:rPr>
        <w:t xml:space="preserve">[SWOT Synthesis] </w:t>
      </w:r>
      <w:r>
        <w:rPr>
          <w:i/>
          <w:sz w:val="20"/>
        </w:rPr>
        <w:t>EU AI Act risk classification for EpistemicOS: limited-risk vs. high-risk determination is unresolved and material to entire EU strategy</w:t>
      </w:r>
    </w:p>
    <w:p>
      <w:pPr>
        <w:shd w:fill="fefce8"/>
      </w:pPr>
      <w:r>
        <w:rPr>
          <w:b/>
          <w:color w:val="2563EB"/>
          <w:sz w:val="18"/>
        </w:rPr>
        <w:t xml:space="preserve">[SWOT Synthesis] </w:t>
      </w:r>
      <w:r>
        <w:rPr>
          <w:i/>
          <w:sz w:val="20"/>
        </w:rPr>
        <w:t>Whether any institution currently maps or could be persuaded to map manuscript quality tooling to accreditation compliance documentation</w:t>
      </w:r>
    </w:p>
    <w:p>
      <w:pPr>
        <w:shd w:fill="fefce8"/>
      </w:pPr>
      <w:r>
        <w:rPr>
          <w:b/>
          <w:color w:val="2563EB"/>
          <w:sz w:val="18"/>
        </w:rPr>
        <w:t xml:space="preserve">[SWOT Synthesis] </w:t>
      </w:r>
      <w:r>
        <w:rPr>
          <w:i/>
          <w:sz w:val="20"/>
        </w:rPr>
        <w:t>Whether grant agency misconduct rules create a documentable liability trigger linkable to pre-submission manuscript review</w:t>
      </w:r>
    </w:p>
    <w:p>
      <w:pPr>
        <w:shd w:fill="fefce8"/>
      </w:pPr>
      <w:r>
        <w:rPr>
          <w:b/>
          <w:color w:val="2563EB"/>
          <w:sz w:val="18"/>
        </w:rPr>
        <w:t xml:space="preserve">[SWOT Synthesis] </w:t>
      </w:r>
      <w:r>
        <w:rPr>
          <w:i/>
          <w:sz w:val="20"/>
        </w:rPr>
        <w:t>Whether proprietary methodology or fine-tuned models can create defensible differentiation from institutional LLM workflow substitutes</w:t>
      </w:r>
    </w:p>
    <w:p>
      <w:pPr>
        <w:shd w:fill="fefce8"/>
      </w:pPr>
      <w:r>
        <w:rPr>
          <w:b/>
          <w:color w:val="2563EB"/>
          <w:sz w:val="18"/>
        </w:rPr>
        <w:t xml:space="preserve">[SWOT Synthesis] </w:t>
      </w:r>
      <w:r>
        <w:rPr>
          <w:i/>
          <w:sz w:val="20"/>
        </w:rPr>
        <w:t>Actual procurement cycle length at private Spanish business schools vs. public universities — no institution-specific data obtained</w:t>
      </w:r>
    </w:p>
    <w:p>
      <w:pPr>
        <w:shd w:fill="fefce8"/>
      </w:pPr>
      <w:r>
        <w:rPr>
          <w:b/>
          <w:color w:val="2563EB"/>
          <w:sz w:val="18"/>
        </w:rPr>
        <w:t xml:space="preserve">[SWOT Synthesis] </w:t>
      </w:r>
      <w:r>
        <w:rPr>
          <w:i/>
          <w:sz w:val="20"/>
        </w:rPr>
        <w:t>Whether advisory-only framing is sufficient to avoid EU AI Act high-risk classification or whether decisional inference is inherent to the product</w:t>
      </w:r>
    </w:p>
    <w:p>
      <w:pPr>
        <w:shd w:fill="fefce8"/>
      </w:pPr>
      <w:r>
        <w:rPr>
          <w:b/>
          <w:color w:val="2563EB"/>
          <w:sz w:val="18"/>
        </w:rPr>
        <w:t xml:space="preserve">[Tech Stack &amp; Data Privacy] </w:t>
      </w:r>
      <w:r>
        <w:rPr>
          <w:i/>
          <w:sz w:val="20"/>
        </w:rPr>
        <w:t>issue: Customer validation missing: is EU-only data residency hard requirement or preference? Affects CDN cost (€350 → €180/month if hybrid model accepted).; impact: Medium (€170/month upside if flexibility permitted)</w:t>
      </w:r>
    </w:p>
    <w:p>
      <w:pPr>
        <w:shd w:fill="fefce8"/>
      </w:pPr>
      <w:r>
        <w:rPr>
          <w:b/>
          <w:color w:val="2563EB"/>
          <w:sz w:val="18"/>
        </w:rPr>
        <w:t xml:space="preserve">[Tech Stack &amp; Data Privacy] </w:t>
      </w:r>
      <w:r>
        <w:rPr>
          <w:i/>
          <w:sz w:val="20"/>
        </w:rPr>
        <w:t>issue: DPA negotiation cost amortization: assumes 20+ customers in Year 2 to absorb €30k upfront legal spend. If customer acquisition slower, cost per customer may be €1,500+ (reducing pricing power).; impact: High (affects go/no-go decision for enterprise segment)</w:t>
      </w:r>
    </w:p>
    <w:p>
      <w:pPr>
        <w:shd w:fill="fefce8"/>
      </w:pPr>
      <w:r>
        <w:rPr>
          <w:b/>
          <w:color w:val="2563EB"/>
          <w:sz w:val="18"/>
        </w:rPr>
        <w:t xml:space="preserve">[Tech Stack &amp; Data Privacy] </w:t>
      </w:r>
      <w:r>
        <w:rPr>
          <w:i/>
          <w:sz w:val="20"/>
        </w:rPr>
        <w:t>issue: Special Category Data content validation: ToS-based liability transfer may not withstand GDPR enforcement scrutiny if researcher uploads protected health info and supervisory authority challenges. Legal risk quantified poorly.; impact: Medium-High (potential €50-100k fines if incident occurs; requires legal audit before launch)</w:t>
      </w:r>
    </w:p>
    <w:p>
      <w:pPr>
        <w:shd w:fill="fefce8"/>
      </w:pPr>
      <w:r>
        <w:rPr>
          <w:b/>
          <w:color w:val="2563EB"/>
          <w:sz w:val="18"/>
        </w:rPr>
        <w:t xml:space="preserve">[Tech Stack &amp; Data Privacy] </w:t>
      </w:r>
      <w:r>
        <w:rPr>
          <w:i/>
          <w:sz w:val="20"/>
        </w:rPr>
        <w:t>issue: Cross-border transfer regime for US/India reviewers: Schrems II uncertainty may force de-identification of metadata or require explicit consent from each non-EU data subject (ops overhead not costed).; impact: Medium (affects 30-40% of international review teams; may require schema redesign)</w:t>
      </w:r>
    </w:p>
    <w:p>
      <w:pPr>
        <w:shd w:fill="fefce8"/>
      </w:pPr>
      <w:r>
        <w:rPr>
          <w:b/>
          <w:color w:val="2563EB"/>
          <w:sz w:val="18"/>
        </w:rPr>
        <w:t xml:space="preserve">[Tech Stack &amp; Data Privacy] </w:t>
      </w:r>
      <w:r>
        <w:rPr>
          <w:i/>
          <w:sz w:val="20"/>
        </w:rPr>
        <w:t>issue: Insider threat detection (audit logs only) does not prevent database deletion. Immutable backup recovery time (4 hours) may be unacceptable for real-time breach scenarios.; impact: Low-Medium (risk mitigation cost €200-500/month if immutable log streaming added)</w:t>
      </w:r>
    </w:p>
    <w:p>
      <w:pPr>
        <w:shd w:fill="fefce8"/>
      </w:pPr>
      <w:r>
        <w:rPr>
          <w:b/>
          <w:color w:val="2563EB"/>
          <w:sz w:val="18"/>
        </w:rPr>
        <w:t xml:space="preserve">[Tech Stack &amp; Data Privacy] </w:t>
      </w:r>
      <w:r>
        <w:rPr>
          <w:i/>
          <w:sz w:val="20"/>
        </w:rPr>
        <w:t>issue: Data subject erasure post-publication: conflict resolution process between co-authors undefined. May trigger manual escalation for 10-30% of requests (cost underestimated).; impact: Low (affects support cost by €1-2k/year if conflicts emerge)</w:t>
      </w:r>
    </w:p>
    <w:p>
      <w:pPr>
        <w:shd w:fill="fefce8"/>
      </w:pPr>
      <w:r>
        <w:rPr>
          <w:b/>
          <w:color w:val="2563EB"/>
          <w:sz w:val="18"/>
        </w:rPr>
        <w:t xml:space="preserve">[Tech Stack &amp; Data Privacy] </w:t>
      </w:r>
      <w:r>
        <w:rPr>
          <w:i/>
          <w:sz w:val="20"/>
        </w:rPr>
        <w:t>issue: Grafana managed SIEM SLA dependency: vendor downtime = loss of breach detection for 72-hour notification window. Backup alerting mechanism weak.; impact: Low (but critical-path risk; mitigation cost €0 if native DB triggers sufficient)</w:t>
      </w:r>
    </w:p>
    <w:p>
      <w:pPr>
        <w:shd w:fill="fefce8"/>
      </w:pPr>
      <w:r>
        <w:rPr>
          <w:b/>
          <w:color w:val="2563EB"/>
          <w:sz w:val="18"/>
        </w:rPr>
        <w:t xml:space="preserve">[Tech Stack &amp; Data Privacy] </w:t>
      </w:r>
      <w:r>
        <w:rPr>
          <w:i/>
          <w:sz w:val="20"/>
        </w:rPr>
        <w:t>issue: DPDP (India) compliance scope unclear. Plan assumes GDPR + CCPA sufficient; India Personal Data Protection Act may impose additional requirements if Indian researchers/reviewers are data subjects. Cost deferred to Year 2.; impact: Low-Medium (potential €10-20k legal cost if market entry to India or large Indian customer requires DPDP compliance)</w:t>
      </w:r>
    </w:p>
    <w:p>
      <w:pPr>
        <w:shd w:fill="fefce8"/>
      </w:pPr>
      <w:r>
        <w:rPr>
          <w:b/>
          <w:color w:val="2563EB"/>
          <w:sz w:val="18"/>
        </w:rPr>
        <w:t xml:space="preserve">[Marketing Strategy] </w:t>
      </w:r>
      <w:r>
        <w:rPr>
          <w:i/>
          <w:sz w:val="20"/>
        </w:rPr>
        <w:t>WTP is entirely unvalidated — no pricing research conducted; €25k ACV may be too high or too low</w:t>
      </w:r>
    </w:p>
    <w:p>
      <w:pPr>
        <w:shd w:fill="fefce8"/>
      </w:pPr>
      <w:r>
        <w:rPr>
          <w:b/>
          <w:color w:val="2563EB"/>
          <w:sz w:val="18"/>
        </w:rPr>
        <w:t xml:space="preserve">[Marketing Strategy] </w:t>
      </w:r>
      <w:r>
        <w:rPr>
          <w:i/>
          <w:sz w:val="20"/>
        </w:rPr>
        <w:t>DPIA duration and attrition rate are inferred, not measured — actual DPIA outcomes could be faster or slower by institution</w:t>
      </w:r>
    </w:p>
    <w:p>
      <w:pPr>
        <w:shd w:fill="fefce8"/>
      </w:pPr>
      <w:r>
        <w:rPr>
          <w:b/>
          <w:color w:val="2563EB"/>
          <w:sz w:val="18"/>
        </w:rPr>
        <w:t xml:space="preserve">[Marketing Strategy] </w:t>
      </w:r>
      <w:r>
        <w:rPr>
          <w:i/>
          <w:sz w:val="20"/>
        </w:rPr>
        <w:t>Turnitin roadmap is opaque — 35–50% overlap probability could be materially wrong in either direction</w:t>
      </w:r>
    </w:p>
    <w:p>
      <w:pPr>
        <w:shd w:fill="fefce8"/>
      </w:pPr>
      <w:r>
        <w:rPr>
          <w:b/>
          <w:color w:val="2563EB"/>
          <w:sz w:val="18"/>
        </w:rPr>
        <w:t xml:space="preserve">[Marketing Strategy] </w:t>
      </w:r>
      <w:r>
        <w:rPr>
          <w:i/>
          <w:sz w:val="20"/>
        </w:rPr>
        <w:t>Prospect count (20–30 research-active schools in Spain; 140–180 in EU) has not been directly enumerated — actual addressable universe may be smaller</w:t>
      </w:r>
    </w:p>
    <w:p>
      <w:pPr>
        <w:shd w:fill="fefce8"/>
      </w:pPr>
      <w:r>
        <w:rPr>
          <w:b/>
          <w:color w:val="2563EB"/>
          <w:sz w:val="18"/>
        </w:rPr>
        <w:t xml:space="preserve">[Marketing Strategy] </w:t>
      </w:r>
      <w:r>
        <w:rPr>
          <w:i/>
          <w:sz w:val="20"/>
        </w:rPr>
        <w:t>Sales cycle estimates for public universities (15–30 months total) have not been validated with actual procurement officers</w:t>
      </w:r>
    </w:p>
    <w:p>
      <w:pPr>
        <w:shd w:fill="fefce8"/>
      </w:pPr>
      <w:r>
        <w:rPr>
          <w:b/>
          <w:color w:val="2563EB"/>
          <w:sz w:val="18"/>
        </w:rPr>
        <w:t xml:space="preserve">[Marketing Strategy] </w:t>
      </w:r>
      <w:r>
        <w:rPr>
          <w:i/>
          <w:sz w:val="20"/>
        </w:rPr>
        <w:t>Reference account strategy depends on private school willingness to be public case studies — schools may decline for competitive reasons</w:t>
      </w:r>
    </w:p>
    <w:p>
      <w:pPr>
        <w:shd w:fill="fefce8"/>
      </w:pPr>
      <w:r>
        <w:rPr>
          <w:b/>
          <w:color w:val="2563EB"/>
          <w:sz w:val="18"/>
        </w:rPr>
        <w:t xml:space="preserve">[Marketing Strategy] </w:t>
      </w:r>
      <w:r>
        <w:rPr>
          <w:i/>
          <w:sz w:val="20"/>
        </w:rPr>
        <w:t>Accreditation body partnership (EFMD, AACSB) is assumed accessible — no conversations initiated; actual receptiveness unknown</w:t>
      </w:r>
    </w:p>
    <w:p>
      <w:pPr>
        <w:shd w:fill="fefce8"/>
      </w:pPr>
      <w:r>
        <w:rPr>
          <w:b/>
          <w:color w:val="2563EB"/>
          <w:sz w:val="18"/>
        </w:rPr>
        <w:t xml:space="preserve">[Marketing Strategy] </w:t>
      </w:r>
      <w:r>
        <w:rPr>
          <w:i/>
          <w:sz w:val="20"/>
        </w:rPr>
        <w:t>LTV assumption (3-year retention) is unvalidated — churn could be higher if schools cycle through pilots without renewing</w:t>
      </w:r>
    </w:p>
    <w:p>
      <w:pPr>
        <w:shd w:fill="fefce8"/>
      </w:pPr>
      <w:r>
        <w:rPr>
          <w:b/>
          <w:color w:val="2563EB"/>
          <w:sz w:val="18"/>
        </w:rPr>
        <w:t xml:space="preserve">[Operations] </w:t>
      </w:r>
      <w:r>
        <w:rPr>
          <w:i/>
          <w:sz w:val="20"/>
        </w:rPr>
        <w:t>Cloud infrastructure cost validation gap</w:t>
      </w:r>
    </w:p>
    <w:p>
      <w:pPr>
        <w:shd w:fill="fefce8"/>
      </w:pPr>
      <w:r>
        <w:rPr>
          <w:b/>
          <w:color w:val="2563EB"/>
          <w:sz w:val="18"/>
        </w:rPr>
        <w:t xml:space="preserve">[Operations] </w:t>
      </w:r>
      <w:r>
        <w:rPr>
          <w:i/>
          <w:sz w:val="20"/>
        </w:rPr>
        <w:t>LLM evaluation cost and claim extraction accuracy unproven</w:t>
      </w:r>
    </w:p>
    <w:p>
      <w:pPr>
        <w:shd w:fill="fefce8"/>
      </w:pPr>
      <w:r>
        <w:rPr>
          <w:b/>
          <w:color w:val="2563EB"/>
          <w:sz w:val="18"/>
        </w:rPr>
        <w:t xml:space="preserve">[Operations] </w:t>
      </w:r>
      <w:r>
        <w:rPr>
          <w:i/>
          <w:sz w:val="20"/>
        </w:rPr>
        <w:t>Institutional buyer data residency mandate unknown</w:t>
      </w:r>
    </w:p>
    <w:p>
      <w:pPr>
        <w:shd w:fill="fefce8"/>
      </w:pPr>
      <w:r>
        <w:rPr>
          <w:b/>
          <w:color w:val="2563EB"/>
          <w:sz w:val="18"/>
        </w:rPr>
        <w:t xml:space="preserve">[Operations] </w:t>
      </w:r>
      <w:r>
        <w:rPr>
          <w:i/>
          <w:sz w:val="20"/>
        </w:rPr>
        <w:t>EU AI Act classification and DPIA completion timeline uncertain</w:t>
      </w:r>
    </w:p>
    <w:p>
      <w:pPr>
        <w:shd w:fill="fefce8"/>
      </w:pPr>
      <w:r>
        <w:rPr>
          <w:b/>
          <w:color w:val="2563EB"/>
          <w:sz w:val="18"/>
        </w:rPr>
        <w:t xml:space="preserve">[Financial Modelling] </w:t>
      </w:r>
      <w:r>
        <w:rPr>
          <w:i/>
          <w:sz w:val="20"/>
        </w:rPr>
        <w:t>ACV of €25k entirely unvalidated — zero WTP interviews completed; actual ACV could be €8k–€15k for pilots</w:t>
      </w:r>
    </w:p>
    <w:p>
      <w:pPr>
        <w:shd w:fill="fefce8"/>
      </w:pPr>
      <w:r>
        <w:rPr>
          <w:b/>
          <w:color w:val="2563EB"/>
          <w:sz w:val="18"/>
        </w:rPr>
        <w:t xml:space="preserve">[Financial Modelling] </w:t>
      </w:r>
      <w:r>
        <w:rPr>
          <w:i/>
          <w:sz w:val="20"/>
        </w:rPr>
        <w:t>First revenue dependency chain (MVP→demo→DPIA→invoice) may push past M8 if product or legal review delays occur</w:t>
      </w:r>
    </w:p>
    <w:p>
      <w:pPr>
        <w:shd w:fill="fefce8"/>
      </w:pPr>
      <w:r>
        <w:rPr>
          <w:b/>
          <w:color w:val="2563EB"/>
          <w:sz w:val="18"/>
        </w:rPr>
        <w:t xml:space="preserve">[Financial Modelling] </w:t>
      </w:r>
      <w:r>
        <w:rPr>
          <w:i/>
          <w:sz w:val="20"/>
        </w:rPr>
        <w:t>EU AI Act risk tier unconfirmed — high-risk classification could halt sales pipeline mid-cycle</w:t>
      </w:r>
    </w:p>
    <w:p>
      <w:pPr>
        <w:shd w:fill="fefce8"/>
      </w:pPr>
      <w:r>
        <w:rPr>
          <w:b/>
          <w:color w:val="2563EB"/>
          <w:sz w:val="18"/>
        </w:rPr>
        <w:t xml:space="preserve">[Financial Modelling] </w:t>
      </w:r>
      <w:r>
        <w:rPr>
          <w:i/>
          <w:sz w:val="20"/>
        </w:rPr>
        <w:t>Billing split (60/40 arrears/upfront) is analyst-constructed with no contract precedent; AR and deferred rev figures are illustrative</w:t>
      </w:r>
    </w:p>
    <w:p>
      <w:pPr>
        <w:shd w:fill="fefce8"/>
      </w:pPr>
      <w:r>
        <w:rPr>
          <w:b/>
          <w:color w:val="2563EB"/>
          <w:sz w:val="18"/>
        </w:rPr>
        <w:t xml:space="preserve">[Financial Modelling] </w:t>
      </w:r>
      <w:r>
        <w:rPr>
          <w:i/>
          <w:sz w:val="20"/>
        </w:rPr>
        <w:t>Bridge financing of €300k–€400k required by M22 under base scenario; terms and dilution impact unquantified</w:t>
      </w:r>
    </w:p>
    <w:p>
      <w:pPr>
        <w:shd w:fill="fefce8"/>
      </w:pPr>
      <w:r>
        <w:rPr>
          <w:b/>
          <w:color w:val="2563EB"/>
          <w:sz w:val="18"/>
        </w:rPr>
        <w:t xml:space="preserve">[Launch &amp; Contingency] </w:t>
      </w:r>
      <w:r>
        <w:rPr>
          <w:i/>
          <w:sz w:val="20"/>
        </w:rPr>
        <w:t>Private school pilot adoption rates: Assumes ≥50% researcher MAU (2+ logins/month) indicates product-market fit. Risk: high initial adoption → rapid churn if workflow integration incomplete. Mitigation: track quarterly retention and feature adoption depth, not just logins.</w:t>
      </w:r>
    </w:p>
    <w:p>
      <w:pPr>
        <w:shd w:fill="fefce8"/>
      </w:pPr>
      <w:r>
        <w:rPr>
          <w:b/>
          <w:color w:val="2563EB"/>
          <w:sz w:val="18"/>
        </w:rPr>
        <w:t xml:space="preserve">[Launch &amp; Contingency] </w:t>
      </w:r>
      <w:r>
        <w:rPr>
          <w:i/>
          <w:sz w:val="20"/>
        </w:rPr>
        <w:t>Public university DPIA cycle: Assumes 12–24 month procurement + 3–6 month DPIA = 15–30 month total. Risk: regulatory uncertainty, institutional delays extend cycle. Mitigation: maintain 4+ pipeline prospects at procurement stage to de-risk single-institution dependency.</w:t>
      </w:r>
    </w:p>
    <w:p>
      <w:pPr>
        <w:shd w:fill="fefce8"/>
      </w:pPr>
      <w:r>
        <w:rPr>
          <w:b/>
          <w:color w:val="2563EB"/>
          <w:sz w:val="18"/>
        </w:rPr>
        <w:t xml:space="preserve">[Launch &amp; Contingency] </w:t>
      </w:r>
      <w:r>
        <w:rPr>
          <w:i/>
          <w:sz w:val="20"/>
        </w:rPr>
        <w:t>Turnitin displacement velocity: Assumes 6–12 month window to establish differentiation before Turnitin adds epistemic features. Risk: Turnitin ships competing feature in 3–6 months, collapsing pricing power. Mitigation: defensible positioning (academic epistemology, not features) required by Month 6.</w:t>
      </w:r>
    </w:p>
    <w:p>
      <w:pPr>
        <w:shd w:fill="fefce8"/>
      </w:pPr>
      <w:r>
        <w:rPr>
          <w:b/>
          <w:color w:val="2563EB"/>
          <w:sz w:val="18"/>
        </w:rPr>
        <w:t xml:space="preserve">[Launch &amp; Contingency] </w:t>
      </w:r>
      <w:r>
        <w:rPr>
          <w:i/>
          <w:sz w:val="20"/>
        </w:rPr>
        <w:t>Researcher adoption mandate enforcement: Assumes institutional buyers can mandate researcher adoption. Risk: researchers vote with feet (low adoption despite mandate). Mitigation: M4 case study must quantify adoption compliance and revision behavior, not just access.</w:t>
      </w:r>
    </w:p>
    <w:p>
      <w:pPr>
        <w:shd w:fill="fefce8"/>
      </w:pPr>
      <w:r>
        <w:rPr>
          <w:b/>
          <w:color w:val="2563EB"/>
          <w:sz w:val="18"/>
        </w:rPr>
        <w:t xml:space="preserve">[Exit Strategy &amp; Cap Table] </w:t>
      </w:r>
      <w:r>
        <w:rPr>
          <w:i/>
          <w:sz w:val="20"/>
        </w:rPr>
        <w:t>No buyer interviews conducted; acquirer gap thesis unvalidated for Clarivate and Elsevier</w:t>
      </w:r>
    </w:p>
    <w:p>
      <w:pPr>
        <w:shd w:fill="fefce8"/>
      </w:pPr>
      <w:r>
        <w:rPr>
          <w:b/>
          <w:color w:val="2563EB"/>
          <w:sz w:val="18"/>
        </w:rPr>
        <w:t xml:space="preserve">[Exit Strategy &amp; Cap Table] </w:t>
      </w:r>
      <w:r>
        <w:rPr>
          <w:i/>
          <w:sz w:val="20"/>
        </w:rPr>
        <w:t>Ripeta vs. EpistemicOS functional differentiation not yet documented — Digital Science acquirer thesis unresolved</w:t>
      </w:r>
    </w:p>
    <w:p>
      <w:pPr>
        <w:shd w:fill="fefce8"/>
      </w:pPr>
      <w:r>
        <w:rPr>
          <w:b/>
          <w:color w:val="2563EB"/>
          <w:sz w:val="18"/>
        </w:rPr>
        <w:t xml:space="preserve">[Exit Strategy &amp; Cap Table] </w:t>
      </w:r>
      <w:r>
        <w:rPr>
          <w:i/>
          <w:sz w:val="20"/>
        </w:rPr>
        <w:t>EU AI Act classification outcome unknown; high-risk classification would materially affect multiple and compliance cost</w:t>
      </w:r>
    </w:p>
    <w:p>
      <w:pPr>
        <w:shd w:fill="fefce8"/>
      </w:pPr>
      <w:r>
        <w:rPr>
          <w:b/>
          <w:color w:val="2563EB"/>
          <w:sz w:val="18"/>
        </w:rPr>
        <w:t xml:space="preserve">[Exit Strategy &amp; Cap Table] </w:t>
      </w:r>
      <w:r>
        <w:rPr>
          <w:i/>
          <w:sz w:val="20"/>
        </w:rPr>
        <w:t>Pilot institution recruitment not yet initiated; seed milestone depends on institutions not yet committed</w:t>
      </w:r>
    </w:p>
    <w:p>
      <w:pPr>
        <w:shd w:fill="fefce8"/>
      </w:pPr>
      <w:r>
        <w:rPr>
          <w:b/>
          <w:color w:val="2563EB"/>
          <w:sz w:val="18"/>
        </w:rPr>
        <w:t xml:space="preserve">[Exit Strategy &amp; Cap Table] </w:t>
      </w:r>
      <w:r>
        <w:rPr>
          <w:i/>
          <w:sz w:val="20"/>
        </w:rPr>
        <w:t>Post-2022 academic SaaS M&amp;A comps sparse; multiple range has high estimation error</w:t>
      </w:r>
    </w:p>
    <w:p>
      <w:pPr>
        <w:shd w:fill="fefce8"/>
      </w:pPr>
      <w:r>
        <w:rPr>
          <w:b/>
          <w:color w:val="2563EB"/>
          <w:sz w:val="18"/>
        </w:rPr>
        <w:t xml:space="preserve">[Exit Strategy &amp; Cap Table] </w:t>
      </w:r>
      <w:r>
        <w:rPr>
          <w:i/>
          <w:sz w:val="20"/>
        </w:rPr>
        <w:t>ESOP issuance timing and size not modeled in dilution table — actual founder ownership at exit lower than shown</w:t>
      </w:r>
    </w:p>
    <w:p>
      <w:pPr>
        <w:shd w:fill="fefce8"/>
      </w:pPr>
      <w:r>
        <w:rPr>
          <w:b/>
          <w:color w:val="2563EB"/>
          <w:sz w:val="18"/>
        </w:rPr>
        <w:t xml:space="preserve">[Exit Strategy &amp; Cap Table] </w:t>
      </w:r>
      <w:r>
        <w:rPr>
          <w:i/>
          <w:sz w:val="20"/>
        </w:rPr>
        <w:t>PE roll-up acquirer interest in sub-€5M ARR academic SaaS asset unvalidated</w:t>
      </w:r>
    </w:p>
    <w:p>
      <w:pPr>
        <w:shd w:fill="fefce8"/>
      </w:pPr>
      <w:r>
        <w:rPr>
          <w:b/>
          <w:color w:val="2563EB"/>
          <w:sz w:val="18"/>
        </w:rPr>
        <w:t xml:space="preserve">[Exit Strategy &amp; Cap Table] </w:t>
      </w:r>
      <w:r>
        <w:rPr>
          <w:i/>
          <w:sz w:val="20"/>
        </w:rPr>
        <w:t>Series A investor returns are marginal in base scenario — may limit Series A fundraising optionality</w:t>
      </w:r>
    </w:p>
    <w:p>
      <w:pPr>
        <w:shd w:fill="fefce8"/>
      </w:pPr>
      <w:r>
        <w:rPr>
          <w:b/>
          <w:color w:val="2563EB"/>
          <w:sz w:val="18"/>
        </w:rPr>
        <w:t xml:space="preserve">[Exit Strategy &amp; Cap Table] </w:t>
      </w:r>
      <w:r>
        <w:rPr>
          <w:i/>
          <w:sz w:val="20"/>
        </w:rPr>
        <w:t>Geographic expansion path to IPO-viable scale not modeled; IPO exit optionality remains purely theoretical</w:t>
      </w:r>
    </w:p>
    <w:p/>
    <w:p>
      <w:pPr>
        <w:pStyle w:val="Heading2"/>
      </w:pPr>
      <w:r>
        <w:t>🚨 Critical Unresolved Challenges</w:t>
      </w:r>
    </w:p>
    <w:p>
      <w:pPr>
        <w:shd w:fill="fef2f2"/>
      </w:pPr>
      <w:r>
        <w:rPr>
          <w:b/>
          <w:color w:val="2563EB"/>
          <w:sz w:val="18"/>
        </w:rPr>
        <w:t xml:space="preserve">[Opportunity Analysis] </w:t>
      </w:r>
      <w:r>
        <w:rPr>
          <w:b/>
          <w:color w:val="EF4444"/>
          <w:sz w:val="20"/>
        </w:rPr>
        <w:t>[UNKNOWN] Both market.us and dataintelo are widely flagged in investment and research communities as low-credibility market research aggregators that frequently publish unverifiable, methodologically opaque figures. The dataintelo figure is dated 2025 — a future year at time of likely drafting — raising immediate authenticity questions. Using these sources in front of sophisticated institutional buyers or investors will trigger immediate credibility damage. The USD 2.99B peer review software figure in particular is implausible on its face: Clarivate (ScholarOne), the market leader, reported total revenues of ~USD 1.1B across all products in 2022; a USD 3B peer review software subsegment would imply the tail exceeds the head.</w:t>
      </w:r>
    </w:p>
    <w:p>
      <w:pPr>
        <w:shd w:fill="fef2f2"/>
      </w:pPr>
      <w:r>
        <w:rPr>
          <w:b/>
          <w:color w:val="2563EB"/>
          <w:sz w:val="18"/>
        </w:rPr>
        <w:t xml:space="preserve">[Organisation Design] </w:t>
      </w:r>
      <w:r>
        <w:rPr>
          <w:b/>
          <w:color w:val="EF4444"/>
          <w:sz w:val="20"/>
        </w:rPr>
        <w:t>[UNKNOWN] PROBLEM 1</w:t>
        <w:br/>
        <w:t xml:space="preserve">TYPE: Unsupported claim / Confidence inflation  </w:t>
        <w:br/>
        <w:t xml:space="preserve">LOCATION: capability_gaps[0] – "Product-market fit validation capability: zero WTP testing"  </w:t>
        <w:br/>
        <w:t xml:space="preserve">WHAT'S WRONG:  </w:t>
        <w:br/>
        <w:t>The gap correc</w:t>
      </w:r>
    </w:p>
    <w:p>
      <w:pPr>
        <w:shd w:fill="fef2f2"/>
      </w:pPr>
      <w:r>
        <w:rPr>
          <w:b/>
          <w:color w:val="2563EB"/>
          <w:sz w:val="18"/>
        </w:rPr>
        <w:t xml:space="preserve">[Organisation Design] </w:t>
      </w:r>
      <w:r>
        <w:rPr>
          <w:b/>
          <w:color w:val="EF4444"/>
          <w:sz w:val="20"/>
        </w:rPr>
        <w:t xml:space="preserve">[UNKNOWN] FIX NEEDED:  </w:t>
        <w:br/>
        <w:t>Replace the kill condition with a sequenced validation gate: (1) Month 1–2: track setup completion and feature discoverability (target: 80%+ feature exploration), (2) Month 3–4:</w:t>
      </w:r>
    </w:p>
    <w:p>
      <w:pPr>
        <w:shd w:fill="fef2f2"/>
      </w:pPr>
      <w:r>
        <w:rPr>
          <w:b/>
          <w:color w:val="2563EB"/>
          <w:sz w:val="18"/>
        </w:rPr>
        <w:t xml:space="preserve">[Organisation Design] </w:t>
      </w:r>
      <w:r>
        <w:rPr>
          <w:b/>
          <w:color w:val="EF4444"/>
          <w:sz w:val="20"/>
        </w:rPr>
        <w:t>[UNKNOWN] PROBLEM 2</w:t>
        <w:br/>
        <w:t xml:space="preserve">TYPE: Logical gap / Incompleteness  </w:t>
        <w:br/>
        <w:t xml:space="preserve">LOCATION: roles_and_responsibilities – "Institutional SaaS Sales Lead" (incomplete definition)  </w:t>
        <w:br/>
        <w:t xml:space="preserve">WHAT'S WRONG:  </w:t>
        <w:br/>
        <w:t>The role is assigned hi</w:t>
      </w:r>
    </w:p>
    <w:p>
      <w:pPr>
        <w:shd w:fill="fef2f2"/>
      </w:pPr>
      <w:r>
        <w:rPr>
          <w:b/>
          <w:color w:val="2563EB"/>
          <w:sz w:val="18"/>
        </w:rPr>
        <w:t xml:space="preserve">[SWOT Synthesis] </w:t>
      </w:r>
      <w:r>
        <w:rPr>
          <w:b/>
          <w:color w:val="EF4444"/>
          <w:sz w:val="20"/>
        </w:rPr>
        <w:t>[UNKNOWN] The draft correctly identifies this as a high-confidence weakness but fails to trace the downstream consequence: every financial projection, pricing assumption, and timeline in the broader business plan is built on a product that does not exist. The weakness is documented as a standalone fact without flagging that it invalidates the credibility of any Year 1 revenue figure elsewhere in the plan. A contradiction in product stage is not merely a weakness to be disclosed — it means the entire go-to-market section is premature and potentially misleading to any reader acting on it.</w:t>
      </w:r>
    </w:p>
    <w:p>
      <w:pPr>
        <w:shd w:fill="fef2f2"/>
      </w:pPr>
      <w:r>
        <w:rPr>
          <w:b/>
          <w:color w:val="2563EB"/>
          <w:sz w:val="18"/>
        </w:rPr>
        <w:t xml:space="preserve">[Tech Stack &amp; Data Privacy] </w:t>
      </w:r>
      <w:r>
        <w:rPr>
          <w:b/>
          <w:color w:val="EF4444"/>
          <w:sz w:val="20"/>
        </w:rPr>
        <w:t>[UNKNOWN] Overgeneralization. Large research universities (Stanford, MIT) have mature processes. Smaller/developing-world institutions do not. Plan targets "50-150 institutional seats" — likely mix of both. No evidence of DPA templates, negotiation cost estimates, or customer acquisition friction due to compliance overhead. This assumption directly affects Year 1 ACV and sales cycle length (both absent from plan).</w:t>
      </w:r>
    </w:p>
    <w:p>
      <w:pPr>
        <w:shd w:fill="fef2f2"/>
      </w:pPr>
      <w:r>
        <w:rPr>
          <w:b/>
          <w:color w:val="2563EB"/>
          <w:sz w:val="18"/>
        </w:rPr>
        <w:t xml:space="preserve">[Marketing Strategy] </w:t>
      </w:r>
      <w:r>
        <w:rPr>
          <w:b/>
          <w:color w:val="EF4444"/>
          <w:sz w:val="20"/>
        </w:rPr>
        <w:t>[UNKNOWN] The plan correctly identifies the DPIA requirement but stops at naming the veto holder. It does not model the consequences for sales cycle length or close rate. A DPIA under GDPR Art. 35 requires the institution's Data Protection Officer to conduct a formal risk assessment — this is a sequential dependency that cannot run in parallel with procurement. In Spanish public universities, this can add 3–6 months to the already 12–24 month procurement cycle. The SOM model uses 12–18 months as the cycle assumption, which does not account for DPIA as an additive delay. The cycle assumption</w:t>
      </w:r>
    </w:p>
    <w:p>
      <w:pPr>
        <w:shd w:fill="fef2f2"/>
      </w:pPr>
      <w:r>
        <w:rPr>
          <w:b/>
          <w:color w:val="2563EB"/>
          <w:sz w:val="18"/>
        </w:rPr>
        <w:t xml:space="preserve">[Operations] </w:t>
      </w:r>
      <w:r>
        <w:rPr>
          <w:b/>
          <w:color w:val="EF4444"/>
          <w:sz w:val="20"/>
        </w:rPr>
        <w:t>[UNKNOWN] RUTHLESS DUE DILIGENCE: STRUCTURED PROBLEMS</w:t>
      </w:r>
    </w:p>
    <w:p>
      <w:pPr>
        <w:shd w:fill="fef2f2"/>
      </w:pPr>
      <w:r>
        <w:rPr>
          <w:b/>
          <w:color w:val="2563EB"/>
          <w:sz w:val="18"/>
        </w:rPr>
        <w:t xml:space="preserve">[Operations] </w:t>
      </w:r>
      <w:r>
        <w:rPr>
          <w:b/>
          <w:color w:val="EF4444"/>
          <w:sz w:val="20"/>
        </w:rPr>
        <w:t>[UNKNOWN] PROBLEM 1</w:t>
        <w:br/>
        <w:t xml:space="preserve">TYPE: Unsupported claim + math error  </w:t>
        <w:br/>
        <w:t xml:space="preserve">LOCATION: Cloud infrastructure cost (€36k/year)  </w:t>
        <w:br/>
        <w:t xml:space="preserve">WHAT'S WRONG:  </w:t>
        <w:br/>
        <w:t>- Claim: "€3k/month for compute (t3.large RDS, S3, managed vector DB,</w:t>
      </w:r>
    </w:p>
    <w:p>
      <w:pPr>
        <w:shd w:fill="fef2f2"/>
      </w:pPr>
      <w:r>
        <w:rPr>
          <w:b/>
          <w:color w:val="2563EB"/>
          <w:sz w:val="18"/>
        </w:rPr>
        <w:t xml:space="preserve">[Financial Modelling] </w:t>
      </w:r>
      <w:r>
        <w:rPr>
          <w:b/>
          <w:color w:val="EF4444"/>
          <w:sz w:val="20"/>
        </w:rPr>
        <w:t>[UNKNOWN] AR of €75k is stated as "60-day collection assumption on €450k ARR." Simple calculation: €450k ARR ÷ 12 months × 2 months = €75k. However, the same balance sheet simultaneously states "deferred_revenue_y3: €112k (25% ACV paid upfront quarterly)." If 25% of ACV is paid upfront quarterly, that implies a significant portion of cash is collected before revenue recognition — which would reduce AR, not coexist with a full 60-day AR figure. You cannot simultaneously have 60-day outstanding receivables AND 25% upfront quarterly collection on the same contract base without specifying which contracts carry which terms. The AR and deferred revenue figures are derived from contradictory billing assumptions applied to the same revenue pool.</w:t>
      </w:r>
    </w:p>
    <w:p>
      <w:pPr>
        <w:shd w:fill="fef2f2"/>
      </w:pPr>
      <w:r>
        <w:rPr>
          <w:b/>
          <w:color w:val="2563EB"/>
          <w:sz w:val="18"/>
        </w:rPr>
        <w:t xml:space="preserve">[Financial Modelling] </w:t>
      </w:r>
      <w:r>
        <w:rPr>
          <w:b/>
          <w:color w:val="EF4444"/>
          <w:sz w:val="20"/>
        </w:rPr>
        <w:t>[UNKNOWN] The JSON is visibly truncated mid-field. The cash flow section is incomplete — operating CF Year 3, investing CF, and financing CF are entirely absent. This is not a stylistic issue: without a complete cash flow statement, the balance sheet cannot be verified (cash ending balance requires operating + investing + financing CF reconciliation), and the stated seed funding requirement of €600k–€800k cannot be independently confirmed from the model. An incomplete three-statement model is not a three-statement model.</w:t>
      </w:r>
    </w:p>
    <w:p>
      <w:pPr>
        <w:shd w:fill="fef2f2"/>
      </w:pPr>
      <w:r>
        <w:rPr>
          <w:b/>
          <w:color w:val="2563EB"/>
          <w:sz w:val="18"/>
        </w:rPr>
        <w:t xml:space="preserve">[Launch &amp; Contingency] </w:t>
      </w:r>
      <w:r>
        <w:rPr>
          <w:b/>
          <w:color w:val="EF4444"/>
          <w:sz w:val="20"/>
        </w:rPr>
        <w:t>[UNKNOWN] PROBLEM 1</w:t>
        <w:br/>
        <w:t>TYPE: Logical gap (circular dependency)</w:t>
        <w:br/>
        <w:t>LOCATION: M1 (Month 2) → M2 (Month 4) → M3 (Month 5) sequencing</w:t>
        <w:br/>
        <w:t xml:space="preserve">WHAT'S WRONG: </w:t>
        <w:br/>
        <w:t>- M1 requires "Legal opinion required before GTM commitm</w:t>
      </w:r>
    </w:p>
    <w:p>
      <w:pPr>
        <w:shd w:fill="fef2f2"/>
      </w:pPr>
      <w:r>
        <w:rPr>
          <w:b/>
          <w:color w:val="2563EB"/>
          <w:sz w:val="18"/>
        </w:rPr>
        <w:t xml:space="preserve">[Launch &amp; Contingency] </w:t>
      </w:r>
      <w:r>
        <w:rPr>
          <w:b/>
          <w:color w:val="EF4444"/>
          <w:sz w:val="20"/>
        </w:rPr>
        <w:t>[UNKNOWN] PROBLEM 2</w:t>
        <w:br/>
        <w:t>TYPE: Unsupported claim (missing sensitivity)</w:t>
        <w:br/>
        <w:t>LOCATION: M4 success criterion and M6 revenue target</w:t>
        <w:br/>
        <w:t>WHAT'S WRONG:</w:t>
        <w:br/>
        <w:t>- M4 targets "3 private school pilots at sub-€15k" and states</w:t>
      </w:r>
    </w:p>
    <w:p>
      <w:pPr>
        <w:shd w:fill="fef2f2"/>
      </w:pPr>
      <w:r>
        <w:rPr>
          <w:b/>
          <w:color w:val="2563EB"/>
          <w:sz w:val="18"/>
        </w:rPr>
        <w:t xml:space="preserve">[Executive Summary] </w:t>
      </w:r>
      <w:r>
        <w:rPr>
          <w:b/>
          <w:color w:val="EF4444"/>
          <w:sz w:val="20"/>
        </w:rPr>
        <w:t>[UNKNOWN] PROBLEM 1</w:t>
        <w:br/>
        <w:t xml:space="preserve">TYPE: Logical gap + incomplete reasoning  </w:t>
        <w:br/>
        <w:t xml:space="preserve">LOCATION: headline_metrics.break_even_month ("Month 24–30")  </w:t>
        <w:br/>
        <w:t xml:space="preserve">WHAT'S WRONG:  </w:t>
        <w:br/>
        <w:t>- Break-even calculation assumes "8–12 institutional</w:t>
      </w:r>
    </w:p>
    <w:p/>
    <w:p>
      <w:pPr>
        <w:pStyle w:val="Heading2"/>
      </w:pPr>
      <w:r>
        <w:t>💡 Recommendations</w:t>
      </w:r>
    </w:p>
    <w:p>
      <w:pPr>
        <w:shd w:fill="eff6ff"/>
      </w:pPr>
      <w:r>
        <w:rPr>
          <w:sz w:val="20"/>
        </w:rPr>
        <w:t>Priority Actions:</w:t>
        <w:br/>
        <w:br/>
        <w:t>1. Address CRITICAL challenges first — these block plan viability</w:t>
        <w:br/>
        <w:t>2. Research HIGH-severity uncertainties using suggested databases:</w:t>
        <w:br/>
        <w:t xml:space="preserve">   • Passport, GlobalData — market sizing</w:t>
        <w:br/>
        <w:t xml:space="preserve">   • CB Insights, FACTIVA — competitive intelligence</w:t>
        <w:br/>
        <w:t xml:space="preserve">   • Statista, WARC — customer data</w:t>
        <w:br/>
        <w:t xml:space="preserve">   • Mergermarket — valuation comps</w:t>
        <w:br/>
        <w:br/>
        <w:t>3. Update the Knowledge Base with findings and re-run evaluation</w:t>
        <w:br/>
        <w:t>4. Review MEDIUM-severity gaps for investor deck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