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t>EDI Health Care Claim Payment/Advice Transaction Set (835)</w:t>
      </w:r>
    </w:p>
    <w:p w:rsidR="008A2737" w:rsidRDefault="008A2737" w:rsidP="008A2737">
      <w:pPr>
        <w:shd w:val="clear" w:color="auto" w:fill="FFFFFF"/>
        <w:spacing w:after="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Can be used to make a payment, send an Explanation of Benefits (EOB) or make a payment and send an EOB remittance advice only from a health insurer to a health care provider either directly or via a financial institution.</w:t>
      </w:r>
    </w:p>
    <w:p w:rsidR="008A2737" w:rsidRDefault="008A2737" w:rsidP="008A2737">
      <w:pPr>
        <w:shd w:val="clear" w:color="auto" w:fill="FFFFFF"/>
        <w:spacing w:after="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t>EDI Benefit Enrollment and Maintenance Set (834)</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Can be used by employers, unions, government agencies, associations or insurance agencies to enroll members to a payer. The payer is a healthcare organization that pays claims, administers insurance or benefit or product. Examples of payers include an insurance company, health care professional (HMO), preferred provider organization (PPO), government agency (Medicaid, Medicare etc.) or any organization that may be contracted by one of these former groups.</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t>EDI Payroll Deducted and other group Premium Payment for Insurance Products (820)</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A transaction set which can be used to make a premium payment for insurance products. It can be used to order a financial institution to make a payment to a payee.</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t>EDI Health Care Eligibility/Benefit Inquiry (270)</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Used to inquire about the health care benefits and eligibility associated with a subscriber or dependent.</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lastRenderedPageBreak/>
        <w:t>EDI Health Care Eligibility/Benefit Response (271)</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Used to respond to a request inquire about the health care benefits and eligibility associated with a subscriber or dependent.</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t>EDI Health Care Claim Status Request (276)</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This transaction set can be used by a provider, recipient of health care products or services or their authorized agent to request the status of a health care claim.</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t>EDI Health Care Claim Status Notification (277)</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This transaction set can be used by a health care payer or authorized agent to notify a provider, recipient or authorized agent regarding the status of a health care claim or encounter, or to request additional information from the provider regarding a health care claim or encounter. This transaction set is not intended to replace the Health Care Claim Payment/Advice Transaction Set (835) and therefore, is not used for account payment posting. The notification is at a summary or service line detail level. The notification may be solicited or unsolicited.</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t>EDI Health Care Service Review Information (278)</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This transaction set can be used to transmit health care service information, such as subscriber, patient, demographic, diagnosis or treatment data for the purpose of request for review, certification, notification or reporting the outcome of a health care services review.</w:t>
      </w:r>
    </w:p>
    <w:p w:rsid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p>
    <w:p w:rsidR="008A2737" w:rsidRP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bookmarkStart w:id="0" w:name="_GoBack"/>
      <w:bookmarkEnd w:id="0"/>
    </w:p>
    <w:p w:rsidR="008A2737" w:rsidRPr="008A2737" w:rsidRDefault="008A2737" w:rsidP="008A2737">
      <w:pPr>
        <w:shd w:val="clear" w:color="auto" w:fill="FFFFFF"/>
        <w:spacing w:after="150" w:line="240" w:lineRule="auto"/>
        <w:textAlignment w:val="baseline"/>
        <w:outlineLvl w:val="2"/>
        <w:rPr>
          <w:rFonts w:ascii="Arial" w:eastAsia="Times New Roman" w:hAnsi="Arial" w:cs="Arial"/>
          <w:color w:val="FF6600"/>
          <w:sz w:val="24"/>
          <w:szCs w:val="24"/>
        </w:rPr>
      </w:pPr>
      <w:r w:rsidRPr="008A2737">
        <w:rPr>
          <w:rFonts w:ascii="Arial" w:eastAsia="Times New Roman" w:hAnsi="Arial" w:cs="Arial"/>
          <w:color w:val="FF6600"/>
          <w:sz w:val="24"/>
          <w:szCs w:val="24"/>
        </w:rPr>
        <w:lastRenderedPageBreak/>
        <w:t>EDI Functional Acknowledgement Transaction Set (997)</w:t>
      </w:r>
    </w:p>
    <w:p w:rsidR="008A2737" w:rsidRPr="008A2737" w:rsidRDefault="008A2737" w:rsidP="008A2737">
      <w:pPr>
        <w:shd w:val="clear" w:color="auto" w:fill="FFFFFF"/>
        <w:spacing w:after="300" w:line="357" w:lineRule="atLeast"/>
        <w:textAlignment w:val="baseline"/>
        <w:rPr>
          <w:rFonts w:ascii="Arial" w:eastAsia="Times New Roman" w:hAnsi="Arial" w:cs="Arial"/>
          <w:color w:val="444444"/>
          <w:sz w:val="21"/>
          <w:szCs w:val="21"/>
        </w:rPr>
      </w:pPr>
      <w:r w:rsidRPr="008A2737">
        <w:rPr>
          <w:rFonts w:ascii="Arial" w:eastAsia="Times New Roman" w:hAnsi="Arial" w:cs="Arial"/>
          <w:color w:val="444444"/>
          <w:sz w:val="21"/>
          <w:szCs w:val="21"/>
        </w:rPr>
        <w:t>This transaction set can be used to define the control structures for a set of acknowledgments to indicate the results of the syntactical analysis of the electronically encoded documents. Although it is not specifically named in the HIPAA Legislation or Final Rule, it is necessary for X12 transaction set processing. The encoded documents are the transaction sets, which are grouped in functional groups, used in defining transactions for business data interchange. This standard does not cover the semantic meaning of the information encoded in the transaction sets.</w:t>
      </w:r>
    </w:p>
    <w:p w:rsidR="004957CB" w:rsidRPr="008A2737" w:rsidRDefault="004957CB" w:rsidP="008A2737">
      <w:pPr>
        <w:spacing w:line="600" w:lineRule="auto"/>
        <w:rPr>
          <w:rFonts w:ascii="Times New Roman" w:hAnsi="Times New Roman" w:cs="Times New Roman"/>
          <w:sz w:val="24"/>
          <w:szCs w:val="24"/>
        </w:rPr>
      </w:pPr>
    </w:p>
    <w:sectPr w:rsidR="004957CB" w:rsidRPr="008A2737" w:rsidSect="008A27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37"/>
    <w:rsid w:val="004957CB"/>
    <w:rsid w:val="008A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BA49"/>
  <w15:chartTrackingRefBased/>
  <w15:docId w15:val="{923107E6-CCA5-4B6F-81D2-25D3D17C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A27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7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2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2737"/>
  </w:style>
  <w:style w:type="character" w:styleId="Hyperlink">
    <w:name w:val="Hyperlink"/>
    <w:basedOn w:val="DefaultParagraphFont"/>
    <w:uiPriority w:val="99"/>
    <w:semiHidden/>
    <w:unhideWhenUsed/>
    <w:rsid w:val="008A2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68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vishwaraj goud sriram</dc:creator>
  <cp:keywords/>
  <dc:description/>
  <cp:lastModifiedBy>vishwaraj goud sriram</cp:lastModifiedBy>
  <cp:revision>1</cp:revision>
  <dcterms:created xsi:type="dcterms:W3CDTF">2016-08-13T16:10:00Z</dcterms:created>
  <dcterms:modified xsi:type="dcterms:W3CDTF">2016-08-13T16:13:00Z</dcterms:modified>
</cp:coreProperties>
</file>