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header+xml" PartName="/word/header3.xml"/>
  <Override ContentType="application/vnd.openxmlformats-officedocument.wordprocessingml.footer+xml" PartName="/word/footer2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header+xml" PartName="/word/header5.xml"/>
  <Override ContentType="application/vnd.openxmlformats-officedocument.wordprocessingml.footer+xml" PartName="/word/footer4.xml"/>
  <Override ContentType="application/vnd.openxmlformats-officedocument.wordprocessingml.header+xml" PartName="/word/header6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sz w:val="24"/>
          <w:szCs w:val="24"/>
        </w:rPr>
        <w:t xml:space="preserve"/>
      </w:r>
    </w:p>
    <w:p>
      <w:pPr>
        <w:spacing w:after="200" w:line="360" w:lineRule="auto"/>
        <w:jc w:val="center"/>
      </w:pPr>
      <w:r>
        <w:rPr>
          <w:sz w:val="36"/>
          <w:szCs w:val="36"/>
        </w:rPr>
        <w:t xml:space="preserve">DISEÑO DE DIAGRAMAS</w:t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(Módulo Reportes Gerenciales)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Sole – Sistema de Gestión Empresarial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SOLSGE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Facultad Politécnica – UNA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Asunción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Julio 2026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FACULTAD POLITÉCNICA</w:t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UNIVERSIDAD NACIONAL DE ASUNCIÓN</w:t>
      </w:r>
    </w:p>
    <w:p>
      <w:pPr>
        <w:sectPr>
          <w:headerReference w:type="default" r:id="rId7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1. Casos de Uso</w:t>
      </w:r>
    </w:p>
    <w:p>
      <w:pPr>
        <w:spacing w:after="60" w:before="0" w:line="360" w:lineRule="auto"/>
        <w:jc w:val="both"/>
      </w:pPr>
      <w:r>
        <w:t xml:space="preserve">Mapa general del módulo (actor y casos de uso principales) y sus especificaciones. Este módulo consolida los reportes gerenciales de las cuatro áreas construidas sobre los módulos transaccionales.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4524375"/>
            <wp:effectExtent t="0" r="0" b="0" l="0"/>
            <wp:docPr id="1" name="casos_uso_reportes.png" descr="casos_uso_reportes.png" title="casos_uso_repor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1. Diagrama de casos de uso — Módulo Reportes Gerenciales.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1.1. Especificaciones de casos de uso</w:t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Ver dashboard gerencial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Permite al Gerente ver los tableros con indicadores (KPIs) y gráficos de cada área: Ventas (F18), Cobros (F22), Compras (F25) e Inventario (F23). Cada dashboard lee vistas que agregan los hechos transaccionales del área y, donde aplica, los comparan con las metas del período.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Gerente.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dashboards gerenciales (uno por área).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Gerente abre el </w:t>
      </w:r>
      <w:r>
        <w:rPr>
          <w:b/>
          <w:bCs/>
        </w:rPr>
        <w:t xml:space="preserve">dashboard</w:t>
      </w:r>
      <w:r>
        <w:t xml:space="preserve"> del área (Ventas, Cobros, Compras o Inventario).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Elige el </w:t>
      </w:r>
      <w:r>
        <w:rPr>
          <w:b/>
          <w:bCs/>
        </w:rPr>
        <w:t xml:space="preserve">período</w:t>
      </w:r>
      <w:r>
        <w:t xml:space="preserve"> y/o la </w:t>
      </w:r>
      <w:r>
        <w:rPr>
          <w:b/>
          <w:bCs/>
        </w:rPr>
        <w:t xml:space="preserve">sucursal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calcula los </w:t>
      </w:r>
      <w:r>
        <w:rPr>
          <w:b/>
          <w:bCs/>
        </w:rPr>
        <w:t xml:space="preserve">KPIs</w:t>
      </w:r>
      <w:r>
        <w:t xml:space="preserve"> y grafica desde las vistas agregadas (V_VENTAS_*, V_COBROS_*, V_CMP_*, V_INV_*), comparando con METAS_VENTA / METAS_COBRANZA donde corresponde.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Gerente interpreta los tableros (evolución, ranking, cumplimiento de meta, aging, rotación, etc.).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Sin datos en el período</w:t>
      </w:r>
    </w:p>
    <w:p>
      <w:pPr>
        <w:spacing w:after="160" w:before="0" w:line="360" w:lineRule="auto"/>
        <w:jc w:val="both"/>
      </w:pPr>
      <w:r>
        <w:t xml:space="preserve">Si no hay hechos en el período elegido, los gráficos de evolución aparecen vacíos; los indicadores de snapshot (cartera, existencias) usan el estado actual.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El Gerente tiene acceso a los reportes gerenciales.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Existen hechos transaccionales (ventas, cobros, compras, movimientos) y, si aplica, metas cargadas.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Consulta de solo lectura; no altera datos transaccionales.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Generar informe gerencial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Permite al Gerente generar informes imprimibles por filtros para cada área (ventas, cobros, compras, inventario), producidos por las funciones FN_INFORME_*_HTML sobre las mismas vistas que alimentan los dashboards.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Gerente.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generadores de informe (uno por área).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Gerente elige el </w:t>
      </w:r>
      <w:r>
        <w:rPr>
          <w:b/>
          <w:bCs/>
        </w:rPr>
        <w:t xml:space="preserve">área</w:t>
      </w:r>
      <w:r>
        <w:t xml:space="preserve"> y los </w:t>
      </w:r>
      <w:r>
        <w:rPr>
          <w:b/>
          <w:bCs/>
        </w:rPr>
        <w:t xml:space="preserve">filtros</w:t>
      </w:r>
      <w:r>
        <w:t xml:space="preserve"> (rango de fechas, sucursal, y la dimensión propia del área: vendedor, cobrador, proveedor, categoría).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ejecuta la función </w:t>
      </w:r>
      <w:r>
        <w:rPr>
          <w:b/>
          <w:bCs/>
        </w:rPr>
        <w:t xml:space="preserve">FN_INFORME_&lt;área&gt;_HTML</w:t>
      </w:r>
      <w:r>
        <w:t xml:space="preserve">, que consulta las vistas agregadas.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compone el </w:t>
      </w:r>
      <w:r>
        <w:rPr>
          <w:b/>
          <w:bCs/>
        </w:rPr>
        <w:t xml:space="preserve">HTML</w:t>
      </w:r>
      <w:r>
        <w:t xml:space="preserve"> imprimible (barras CSS, formato de impresión) y lo muestra.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Gerente </w:t>
      </w:r>
      <w:r>
        <w:rPr>
          <w:b/>
          <w:bCs/>
        </w:rPr>
        <w:t xml:space="preserve">imprime</w:t>
      </w:r>
      <w:r>
        <w:t xml:space="preserve"> o exporta el informe.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Filtros sin resultados</w:t>
      </w:r>
    </w:p>
    <w:p>
      <w:pPr>
        <w:spacing w:after="160" w:before="0" w:line="360" w:lineRule="auto"/>
        <w:jc w:val="both"/>
      </w:pPr>
      <w:r>
        <w:t xml:space="preserve">Si los filtros no arrojan datos, el informe se genera con las secciones vacías.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El Gerente tiene acceso a los reportes.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Informe generado (solo lectura).</w:t>
      </w:r>
    </w:p>
    <w:p>
      <w:pPr>
        <w:sectPr>
          <w:headerReference w:type="default" r:id="rId8"/>
          <w:footerReference w:type="default" r:id="rId9"/>
          <w:type w:val="nextPage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2. Diagramas de Estados</w:t>
      </w:r>
    </w:p>
    <w:p>
      <w:pPr>
        <w:spacing w:after="60" w:before="0" w:line="360" w:lineRule="auto"/>
        <w:jc w:val="both"/>
      </w:pPr>
      <w:r>
        <w:t xml:space="preserve">No aplica. Los reportes gerenciales son consultas de solo lectura (dashboards e informes); no hay objetos con ciclo de vida propios de este módulo. Los estados relevantes pertenecen a los objetos transaccionales de cada módulo de origen.</w:t>
      </w:r>
    </w:p>
    <w:p>
      <w:pPr>
        <w:sectPr>
          <w:headerReference w:type="default" r:id="rId10"/>
          <w:footerReference w:type="default" r:id="rId11"/>
          <w:type w:val="nextPage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3. Diagramas de Actividades</w:t>
      </w:r>
    </w:p>
    <w:p>
      <w:pPr>
        <w:spacing w:after="60" w:before="0" w:line="360" w:lineRule="auto"/>
        <w:jc w:val="both"/>
      </w:pPr>
      <w:r>
        <w:t xml:space="preserve">Flujo de control del proceso de generación de informes gerenciales.</w:t>
      </w:r>
    </w:p>
    <w:p>
      <w:pPr>
        <w:pStyle w:val="Heading2"/>
        <w:spacing w:after="120" w:before="200"/>
      </w:pPr>
      <w:r>
        <w:rPr>
          <w:b/>
          <w:bCs/>
        </w:rPr>
        <w:t xml:space="preserve">3.1. Generar informe gerencial</w:t>
      </w:r>
    </w:p>
    <w:p>
      <w:pPr>
        <w:spacing w:after="80" w:before="120"/>
        <w:jc w:val="center"/>
      </w:pPr>
      <w:r>
        <w:drawing>
          <wp:inline distT="0" distB="0" distL="0" distR="0">
            <wp:extent cx="6124575" cy="6096000"/>
            <wp:effectExtent t="0" r="0" b="0" l="0"/>
            <wp:docPr id="1" name="actividad_generar_informe.png" descr="actividad_generar_informe.png" title="actividad_generar_infor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2. Actividad — Generar informe gerencial.</w:t>
      </w:r>
    </w:p>
    <w:p>
      <w:pPr>
        <w:sectPr>
          <w:headerReference w:type="default" r:id="rId12"/>
          <w:footerReference w:type="default" r:id="rId13"/>
          <w:type w:val="nextPage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4. Diagrama de Clases</w:t>
      </w:r>
    </w:p>
    <w:p>
      <w:pPr>
        <w:spacing w:after="60" w:before="0" w:line="360" w:lineRule="auto"/>
        <w:jc w:val="both"/>
      </w:pPr>
      <w:r>
        <w:t xml:space="preserve">Modelo de la capa de reportes: los dashboards y las funciones de informe consumen vistas que agregan los hechos transaccionales y los comparan con las metas. Las clases en gris son los hechos frontera de los módulos de origen.</w:t>
      </w:r>
    </w:p>
    <w:p>
      <w:pPr>
        <w:spacing w:after="80" w:before="120"/>
        <w:jc w:val="center"/>
      </w:pPr>
      <w:r>
        <w:drawing>
          <wp:inline distT="0" distB="0" distL="0" distR="0">
            <wp:extent cx="9096375" cy="3762375"/>
            <wp:effectExtent t="0" r="0" b="0" l="0"/>
            <wp:docPr id="1" name="clases_reportes.png" descr="clases_reportes.png" title="clases_repor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63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3. Diagrama de clases — Módulo Reportes Gerenciales.</w:t>
      </w:r>
    </w:p>
    <w:p>
      <w:pPr>
        <w:sectPr>
          <w:headerReference w:type="default" r:id="rId14"/>
          <w:footerReference w:type="default" r:id="rId15"/>
          <w:type w:val="nextPage"/>
          <w:pgSz w:w="16838" w:h="11906" w:orient="landscape"/>
          <w:pgMar w:top="1720" w:right="1417" w:bottom="900" w:left="1417" w:header="400" w:footer="540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5. Diagramas de Secuencia</w:t>
      </w:r>
    </w:p>
    <w:p>
      <w:pPr>
        <w:spacing w:after="60" w:before="0" w:line="360" w:lineRule="auto"/>
        <w:jc w:val="both"/>
      </w:pPr>
      <w:r>
        <w:t xml:space="preserve">Derivados de los casos de uso; muestran las llamadas reales entre la página, las funciones de informe, las vistas y las entidades.</w:t>
      </w:r>
    </w:p>
    <w:p>
      <w:pPr>
        <w:pStyle w:val="Heading2"/>
        <w:spacing w:after="120" w:before="200"/>
      </w:pPr>
      <w:r>
        <w:rPr>
          <w:b/>
          <w:bCs/>
        </w:rPr>
        <w:t xml:space="preserve">5.1. Ver dashboard gerencial</w:t>
      </w:r>
    </w:p>
    <w:p>
      <w:pPr>
        <w:spacing w:after="80" w:before="120"/>
        <w:jc w:val="center"/>
      </w:pPr>
      <w:r>
        <w:drawing>
          <wp:inline distT="0" distB="0" distL="0" distR="0">
            <wp:extent cx="8334375" cy="3714750"/>
            <wp:effectExtent t="0" r="0" b="0" l="0"/>
            <wp:docPr id="1" name="secuencia_ver_dashboard.png" descr="secuencia_ver_dashboard.png" title="secuencia_ver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4. Secuencia — Ver dashboard gerencial.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5.2. Generar informe gerencial</w:t>
      </w:r>
    </w:p>
    <w:p>
      <w:pPr>
        <w:spacing w:after="80" w:before="120"/>
        <w:jc w:val="center"/>
      </w:pPr>
      <w:r>
        <w:drawing>
          <wp:inline distT="0" distB="0" distL="0" distR="0">
            <wp:extent cx="9144000" cy="3714750"/>
            <wp:effectExtent t="0" r="0" b="0" l="0"/>
            <wp:docPr id="1" name="secuencia_generar_informe.png" descr="secuencia_generar_informe.png" title="secuencia_generar_infor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5. Secuencia — Generar informe gerencial.</w:t>
      </w:r>
    </w:p>
    <w:sectPr>
      <w:headerReference w:type="default" r:id="rId16"/>
      <w:footerReference w:type="default" r:id="rId17"/>
      <w:type w:val="nextPage"/>
      <w:pgSz w:w="16838" w:h="11906" w:orient="landscape"/>
      <w:pgMar w:top="1720" w:right="1417" w:bottom="900" w:left="1417" w:header="40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header" Target="header5.xml"/><Relationship Id="rId15" Type="http://schemas.openxmlformats.org/officeDocument/2006/relationships/footer" Target="footer4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image" Target="media/81817086d4d518d3143ba20c502f3c09c70624ed.png"/><Relationship Id="rId19" Type="http://schemas.openxmlformats.org/officeDocument/2006/relationships/image" Target="media/65afc3bc6f61154dadd5b5ec8d5fe198ee061890.png"/><Relationship Id="rId20" Type="http://schemas.openxmlformats.org/officeDocument/2006/relationships/image" Target="media/72fe749d4032cfc6c323de3d97b600296223223a.png"/><Relationship Id="rId21" Type="http://schemas.openxmlformats.org/officeDocument/2006/relationships/image" Target="media/467954bbd5a8ddb8648b18327c8e59138a7d55bd.png"/><Relationship Id="rId22" Type="http://schemas.openxmlformats.org/officeDocument/2006/relationships/image" Target="media/47f38373fcf75d187df7eb1d6e0bbae95a2f53ad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6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SOLSGE</dc:creator>
  <cp:lastModifiedBy>Un-named</cp:lastModifiedBy>
  <cp:revision>1</cp:revision>
  <dcterms:created xsi:type="dcterms:W3CDTF">2026-07-08T04:52:15.925Z</dcterms:created>
  <dcterms:modified xsi:type="dcterms:W3CDTF">2026-07-08T04:52:15.926Z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