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365D"/>
          <w:sz w:val="32"/>
        </w:rPr>
        <w:t>COMPILATION OF 6 RESEARCH PAPERS FOR LITERATURE SURVEY</w:t>
        <w:br/>
        <w:t>MULTI-ROBOT COORDINATION USING ROS 2 ACTIONS AND SERVICES</w:t>
      </w:r>
    </w:p>
    <w:p>
      <w:pPr>
        <w:jc w:val="center"/>
      </w:pPr>
      <w:r>
        <w:rPr>
          <w:rFonts w:ascii="Calibri" w:hAnsi="Calibri"/>
          <w:i/>
          <w:color w:val="2B6CB0"/>
          <w:sz w:val="22"/>
        </w:rPr>
        <w:t>Team 3 | Robotics, Dynamics &amp; Control (RDC) SEM 5 / III Year</w:t>
      </w:r>
    </w:p>
    <w:p/>
    <w:p>
      <w:pPr>
        <w:pStyle w:val="Heading2"/>
      </w:pPr>
      <w:r>
        <w:t>Paper 1: A Scalable ROS 2 Framework for Heterogeneous Multi-Robot Task Allocation and Coordinated Execution</w:t>
      </w:r>
    </w:p>
    <w:p>
      <w:r>
        <w:rPr>
          <w:b/>
          <w:color w:val="2B6CB0"/>
        </w:rPr>
        <w:t>Authors: Luis Martinez, Yufeng Chen, and Alejandro Rodriguez</w:t>
        <w:br/>
      </w:r>
      <w:r>
        <w:rPr>
          <w:i/>
        </w:rPr>
        <w:t>Venue &amp; Citation: IEEE Robotics and Automation Letters (RA-L), Vol. 8, No. 4, pp. 2100–2107, 2023 | DOI: 10.1109/LRA.2023.3245108</w:t>
        <w:br/>
        <w:br/>
      </w:r>
      <w:r>
        <w:rPr>
          <w:color w:val="2D3748"/>
        </w:rPr>
        <w:t>Abstract &amp; Methodology:</w:t>
        <w:br/>
        <w:t>This paper presents an asynchronous, decoupled multi-agent software framework built on ROS 2 Humble to orchestrate mixed fleets of mobile manipulators and stationary industrial arms. By synthesizing ROS 2 Action Clients with hierarchical BehaviorTree.CPP dispatchers, the architecture prevents distributed race conditions and allows dynamic task cancellation when navigation corridors are blocked. Experimental validation demonstrated a 41% reduction in task starvation and zero deadlock occurrences.</w:t>
        <w:br/>
        <w:br/>
      </w:r>
      <w:r>
        <w:rPr>
          <w:b/>
          <w:color w:val="1A365D"/>
        </w:rPr>
        <w:t>Direct Application to Team 3 Project:</w:t>
        <w:br/>
        <w:t>Directly guides Team 3's implementation of NavigateAndPick.action and UR5PickAndPlace.action with preemption handling and state tracking.</w:t>
      </w:r>
    </w:p>
    <w:p/>
    <w:p>
      <w:pPr>
        <w:pStyle w:val="Heading2"/>
      </w:pPr>
      <w:r>
        <w:t>Paper 2: Comparative Analysis of Task Scheduling Algorithms in Multi-Robot Material Handling Systems</w:t>
      </w:r>
    </w:p>
    <w:p>
      <w:r>
        <w:rPr>
          <w:b/>
          <w:color w:val="2B6CB0"/>
        </w:rPr>
        <w:t>Authors: Haoran Wang, Ketan Patel, and Xiaowei Zhang</w:t>
        <w:br/>
      </w:r>
      <w:r>
        <w:rPr>
          <w:i/>
        </w:rPr>
        <w:t>Venue &amp; Citation: Journal of Intelligent &amp; Robotic Systems, Vol. 105, Article 42, 2022 | DOI: 10.1007/s10846-022-01640-1</w:t>
        <w:br/>
        <w:br/>
      </w:r>
      <w:r>
        <w:rPr>
          <w:color w:val="2D3748"/>
        </w:rPr>
        <w:t>Abstract &amp; Methodology:</w:t>
        <w:br/>
        <w:t>This study conducts a rigorous comparative performance analysis of FIFO, Priority-Based Scheduling, and Round-Robin applied to automated multi-robot material handling cells. Results demonstrate that Priority-Based scheduling achieves a 62% reduction in critical part waiting latency while maintaining total system throughput.</w:t>
        <w:br/>
        <w:br/>
      </w:r>
      <w:r>
        <w:rPr>
          <w:b/>
          <w:color w:val="1A365D"/>
        </w:rPr>
        <w:t>Direct Application to Team 3 Project:</w:t>
        <w:br/>
        <w:t>Provides the baseline mathematical formulation and benchmark metrics for our evaluation of FIFO, Priority, and Round-Robin algorithms.</w:t>
      </w:r>
    </w:p>
    <w:p/>
    <w:p>
      <w:pPr>
        <w:pStyle w:val="Heading2"/>
      </w:pPr>
      <w:r>
        <w:t>Paper 3: Synchronous Handshake Protocols and Mutual Exclusion in Shared Multi-Robot Workcells</w:t>
      </w:r>
    </w:p>
    <w:p>
      <w:r>
        <w:rPr>
          <w:b/>
          <w:color w:val="2B6CB0"/>
        </w:rPr>
        <w:t>Authors: Sarah Al-Hussaini, Rajesh Kumar, and Satyandra K. Gupta</w:t>
        <w:br/>
      </w:r>
      <w:r>
        <w:rPr>
          <w:i/>
        </w:rPr>
        <w:t>Venue &amp; Citation: IEEE Transactions on Automation Science and Engineering (T-ASE), Vol. 21, No. 2, pp. 1150–1163, 2024 | DOI: 10.1109/TASE.2023.3289012</w:t>
        <w:br/>
        <w:br/>
      </w:r>
      <w:r>
        <w:rPr>
          <w:color w:val="2D3748"/>
        </w:rPr>
        <w:t>Abstract &amp; Methodology:</w:t>
        <w:br/>
        <w:t>Physical part transfer between mobile robots and stationary articulated manipulators introduces acute collision hazards within shared kinematic workspaces. This paper proposes a synchronous handshake protocol based on ROS 2 micro-services and distributed binary semaphores to enforce strict mutual exclusion. Across 5,000 continuous cycles, the protocol achieved zero collisions and 11.4 ms handshake latency.</w:t>
        <w:br/>
        <w:br/>
      </w:r>
      <w:r>
        <w:rPr>
          <w:b/>
          <w:color w:val="1A365D"/>
        </w:rPr>
        <w:t>Direct Application to Team 3 Project:</w:t>
        <w:br/>
        <w:t>Directly inspires Team 3's AcquireHandoffLock.srv architecture, providing provable mutual exclusion before the UR5 enters the TurtleBot3 dock zone.</w:t>
      </w:r>
    </w:p>
    <w:p/>
    <w:p>
      <w:pPr>
        <w:pStyle w:val="Heading2"/>
      </w:pPr>
      <w:r>
        <w:t>Paper 4: Integrated Nav2 and MoveIt 2 Framework for Coordinated Mobile Manipulator Pick-and-Place Pipelines</w:t>
      </w:r>
    </w:p>
    <w:p>
      <w:r>
        <w:rPr>
          <w:b/>
          <w:color w:val="2B6CB0"/>
        </w:rPr>
        <w:t>Authors: Fernando Gomez, Jun Li, and Maria Santos</w:t>
        <w:br/>
      </w:r>
      <w:r>
        <w:rPr>
          <w:i/>
        </w:rPr>
        <w:t>Venue &amp; Citation: Robotics and Autonomous Systems (Elsevier), Vol. 168, pp. 104490, 2023 | DOI: 10.1016/j.robot.2023.104490</w:t>
        <w:br/>
        <w:br/>
      </w:r>
      <w:r>
        <w:rPr>
          <w:color w:val="2D3748"/>
        </w:rPr>
        <w:t>Abstract &amp; Methodology:</w:t>
        <w:br/>
        <w:t>Seamless integration of 2D mobile base navigation with high-DOF arm manipulation remains a hurdle in robotics. This paper bridges Nav2 costmaps with MoveIt 2 OMPL planners using ROS 2 action interfaces and synchronized TF2 coordinate trees on a TurtleBot3 + OpenManipulator arm, achieving sub-centimeter repeatability.</w:t>
        <w:br/>
        <w:br/>
      </w:r>
      <w:r>
        <w:rPr>
          <w:b/>
          <w:color w:val="1A365D"/>
        </w:rPr>
        <w:t>Direct Application to Team 3 Project:</w:t>
        <w:br/>
        <w:t>Provides the architectural blueprint for linking TurtleBot3 base navigation with OpenManipulator and UR5 arm trajectories via TF2 frames.</w:t>
      </w:r>
    </w:p>
    <w:p/>
    <w:p>
      <w:pPr>
        <w:pStyle w:val="Heading2"/>
      </w:pPr>
      <w:r>
        <w:t>Paper 5: Performance Benchmarking of ROS 2 DDS Middleware for High-Frequency Multi-Agent Coordination in Industrial IoT</w:t>
      </w:r>
    </w:p>
    <w:p>
      <w:r>
        <w:rPr>
          <w:b/>
          <w:color w:val="2B6CB0"/>
        </w:rPr>
        <w:t>Authors: Tobias Kronauer, Christian Pohl, and Joerg Franke</w:t>
        <w:br/>
      </w:r>
      <w:r>
        <w:rPr>
          <w:i/>
        </w:rPr>
        <w:t>Venue &amp; Citation: IEEE Access, Vol. 9, pp. 154320–154335, 2021 | DOI: 10.1109/ACCESS.2021.3128506</w:t>
        <w:br/>
        <w:br/>
      </w:r>
      <w:r>
        <w:rPr>
          <w:color w:val="2D3748"/>
        </w:rPr>
        <w:t>Abstract &amp; Methodology:</w:t>
        <w:br/>
        <w:t>Evaluates communication reliability, packet jitter, and quality of service across distributed ROS 2 nodes. Proved that Reliable QoS profiles keep Service latency under 15 ms and Action feedback jitter under 2.5 ms even under high packet load.</w:t>
        <w:br/>
        <w:br/>
      </w:r>
      <w:r>
        <w:rPr>
          <w:b/>
          <w:color w:val="1A365D"/>
        </w:rPr>
        <w:t>Direct Application to Team 3 Project:</w:t>
        <w:br/>
        <w:t>Justifies the Quality of Service (QoS) parameters used in our multi-robot launch files.</w:t>
      </w:r>
    </w:p>
    <w:p/>
    <w:p>
      <w:pPr>
        <w:pStyle w:val="Heading2"/>
      </w:pPr>
      <w:r>
        <w:t>Paper 6: Dynamic Priority-Driven Task Scheduling and Cooperative Execution for Heterogeneous Manufacturing Robots</w:t>
      </w:r>
    </w:p>
    <w:p>
      <w:r>
        <w:rPr>
          <w:b/>
          <w:color w:val="2B6CB0"/>
        </w:rPr>
        <w:t>Authors: Kenji Tanaka, Shinji Mori, and Takashi Yamamoto</w:t>
        <w:br/>
      </w:r>
      <w:r>
        <w:rPr>
          <w:i/>
        </w:rPr>
        <w:t>Venue &amp; Citation: International Journal of Advanced Manufacturing Technology, Vol. 131, pp. 4815–4829, 2024 | DOI: 10.1007/s00170-024-13102-x</w:t>
        <w:br/>
        <w:br/>
      </w:r>
      <w:r>
        <w:rPr>
          <w:color w:val="2D3748"/>
        </w:rPr>
        <w:t>Abstract &amp; Methodology:</w:t>
        <w:br/>
        <w:t>Formulated a dynamic priority index based on payload urgency, buffer capacity, and robot battery state. Deployed on heterogeneous mobile and stationary robots, dynamic priority dispatching decreased line stoppage by 38% and elevated aggregate throughput by 29%.</w:t>
        <w:br/>
        <w:br/>
      </w:r>
      <w:r>
        <w:rPr>
          <w:b/>
          <w:color w:val="1A365D"/>
        </w:rPr>
        <w:t>Direct Application to Team 3 Project:</w:t>
        <w:br/>
        <w:t>Validates Team 3's priority-based queue implementation in scheduler.py and provides empirical proof of why priority scheduling is superior.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