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line="500" w:lineRule="exact"/>
        <w:jc w:val="center"/>
      </w:pPr>
      <w:r>
        <w:rPr>
          <w:rFonts w:ascii="標楷體" w:cs="標楷體" w:eastAsia="標楷體" w:hAnsi="標楷體"/>
          <w:b/>
          <w:bCs/>
          <w:color w:val="1F3864"/>
          <w:sz w:val="40"/>
          <w:szCs w:val="40"/>
        </w:rPr>
        <w:t xml:space="preserve">「鏈接未來：區塊鏈創新應用」</w:t>
      </w:r>
    </w:p>
    <w:p>
      <w:pPr>
        <w:spacing w:after="0" w:before="0" w:line="500" w:lineRule="exact"/>
        <w:jc w:val="center"/>
      </w:pPr>
      <w:r>
        <w:rPr>
          <w:rFonts w:ascii="標楷體" w:cs="標楷體" w:eastAsia="標楷體" w:hAnsi="標楷體"/>
          <w:b/>
          <w:bCs/>
          <w:color w:val="1F3864"/>
          <w:sz w:val="40"/>
          <w:szCs w:val="40"/>
        </w:rPr>
        <w:t xml:space="preserve">專題研究計畫</w:t>
      </w:r>
    </w:p>
    <w:p>
      <w:pPr>
        <w:spacing w:after="0" w:before="0" w:line="500" w:lineRule="exact"/>
      </w:pPr>
    </w:p>
    <w:p>
      <w:pPr>
        <w:spacing w:after="0" w:before="0" w:line="500" w:lineRule="exact"/>
      </w:pPr>
    </w:p>
    <w:p>
      <w:pPr>
        <w:spacing w:after="0" w:before="0" w:line="500" w:lineRule="exact"/>
        <w:jc w:val="center"/>
      </w:pPr>
      <w:r>
        <w:rPr>
          <w:rFonts w:ascii="標楷體" w:cs="標楷體" w:eastAsia="標楷體" w:hAnsi="標楷體"/>
          <w:b/>
          <w:bCs/>
          <w:color w:val="2F5496"/>
          <w:sz w:val="32"/>
          <w:szCs w:val="32"/>
        </w:rPr>
        <w:t xml:space="preserve">主題：區塊鏈技術於食品供應鏈之創新應用</w:t>
      </w:r>
    </w:p>
    <w:p>
      <w:pPr>
        <w:spacing w:after="0" w:before="0" w:line="500" w:lineRule="exact"/>
      </w:pPr>
    </w:p>
    <w:p>
      <w:pPr>
        <w:spacing w:after="0" w:before="0" w:line="500" w:lineRule="exact"/>
      </w:pPr>
    </w:p>
    <w:p>
      <w:pPr>
        <w:spacing w:after="0" w:before="0" w:line="500" w:lineRule="exact"/>
      </w:pPr>
    </w:p>
    <w:p>
      <w:pPr>
        <w:spacing w:after="0" w:before="0" w:line="500" w:lineRule="exact"/>
        <w:jc w:val="center"/>
      </w:pPr>
      <w:r>
        <w:rPr>
          <w:rFonts w:ascii="標楷體" w:cs="標楷體" w:eastAsia="標楷體" w:hAnsi="標楷體"/>
          <w:b w:val="false"/>
          <w:bCs w:val="false"/>
          <w:color w:val="000000"/>
          <w:sz w:val="28"/>
          <w:szCs w:val="28"/>
        </w:rPr>
        <w:t xml:space="preserve">組　別：第 XX 組</w:t>
      </w:r>
    </w:p>
    <w:p>
      <w:pPr>
        <w:spacing w:after="0" w:before="0" w:line="500" w:lineRule="exact"/>
      </w:pPr>
    </w:p>
    <w:p>
      <w:pPr>
        <w:spacing w:after="0" w:before="0" w:line="500" w:lineRule="exact"/>
        <w:jc w:val="center"/>
      </w:pPr>
      <w:r>
        <w:rPr>
          <w:rFonts w:ascii="標楷體" w:cs="標楷體" w:eastAsia="標楷體" w:hAnsi="標楷體"/>
          <w:b w:val="false"/>
          <w:bCs w:val="false"/>
          <w:color w:val="000000"/>
          <w:sz w:val="28"/>
          <w:szCs w:val="28"/>
        </w:rPr>
        <w:t xml:space="preserve">學　號：OOO、OOO、OOO</w:t>
      </w:r>
    </w:p>
    <w:p>
      <w:pPr>
        <w:spacing w:after="0" w:before="0" w:line="500" w:lineRule="exact"/>
      </w:pPr>
    </w:p>
    <w:p>
      <w:pPr>
        <w:spacing w:after="0" w:before="0" w:line="500" w:lineRule="exact"/>
        <w:jc w:val="center"/>
      </w:pPr>
      <w:r>
        <w:rPr>
          <w:rFonts w:ascii="標楷體" w:cs="標楷體" w:eastAsia="標楷體" w:hAnsi="標楷體"/>
          <w:b w:val="false"/>
          <w:bCs w:val="false"/>
          <w:color w:val="000000"/>
          <w:sz w:val="28"/>
          <w:szCs w:val="28"/>
        </w:rPr>
        <w:t xml:space="preserve">姓　名：OOO、OOO、OOO</w:t>
      </w:r>
    </w:p>
    <w:p>
      <w:pPr>
        <w:spacing w:after="0" w:before="0" w:line="500" w:lineRule="exact"/>
      </w:pPr>
    </w:p>
    <w:p>
      <w:pPr>
        <w:spacing w:after="0" w:before="0" w:line="500" w:lineRule="exact"/>
        <w:jc w:val="center"/>
      </w:pPr>
      <w:r>
        <w:rPr>
          <w:rFonts w:ascii="標楷體" w:cs="標楷體" w:eastAsia="標楷體" w:hAnsi="標楷體"/>
          <w:b w:val="false"/>
          <w:bCs w:val="false"/>
          <w:color w:val="000000"/>
          <w:sz w:val="28"/>
          <w:szCs w:val="28"/>
        </w:rPr>
        <w:t xml:space="preserve">日　期：115年XX月XX日</w:t>
      </w:r>
    </w:p>
    <w:p>
      <w:pPr>
        <w:sectPr>
          <w:pgSz w:w="11906" w:h="16838" w:orient="portrait"/>
          <w:pgMar w:top="1440" w:right="1440" w:bottom="1440" w:left="1440" w:header="708" w:footer="708" w:gutter="0"/>
          <w:pgNumType/>
          <w:docGrid w:linePitch="360"/>
        </w:sectPr>
      </w:pPr>
    </w:p>
    <w:p>
      <w:pPr>
        <w:pStyle w:val="Heading1"/>
        <w:pBdr>
          <w:bottom w:val="single" w:color="1F3864" w:sz="8" w:space="1"/>
        </w:pBdr>
        <w:spacing w:after="120" w:before="240" w:line="500" w:lineRule="exact"/>
      </w:pPr>
      <w:r>
        <w:rPr>
          <w:rFonts w:ascii="標楷體" w:cs="標楷體" w:eastAsia="標楷體" w:hAnsi="標楷體"/>
          <w:b/>
          <w:bCs/>
          <w:color w:val="1F3864"/>
          <w:sz w:val="36"/>
          <w:szCs w:val="36"/>
        </w:rPr>
        <w:t xml:space="preserve">一、前言</w:t>
      </w:r>
    </w:p>
    <w:p>
      <w:pPr>
        <w:pStyle w:val="Heading2"/>
        <w:spacing w:after="80" w:before="200" w:line="500" w:lineRule="exact"/>
      </w:pPr>
      <w:r>
        <w:rPr>
          <w:rFonts w:ascii="標楷體" w:cs="標楷體" w:eastAsia="標楷體" w:hAnsi="標楷體"/>
          <w:b/>
          <w:bCs/>
          <w:color w:val="2F5496"/>
          <w:sz w:val="30"/>
          <w:szCs w:val="30"/>
        </w:rPr>
        <w:t xml:space="preserve">1.1 研究背景與動機</w:t>
      </w:r>
    </w:p>
    <w:p>
      <w:pPr>
        <w:spacing w:after="0" w:before="0" w:line="500" w:lineRule="exact"/>
        <w:jc w:val="left"/>
      </w:pPr>
      <w:r>
        <w:rPr>
          <w:rFonts w:ascii="標楷體" w:cs="標楷體" w:eastAsia="標楷體" w:hAnsi="標楷體" w:hint="eastAsia"/>
          <w:b w:val="false"/>
          <w:bCs w:val="false"/>
          <w:color w:val="000000"/>
          <w:sz w:val="28"/>
          <w:szCs w:val="28"/>
        </w:rPr>
        <w:t xml:space="preserve">近年來，全球食品安全事件層出不窮，從台灣的黑心油品事件、歐洲的馬肉摻偽醜聞，到中國的毒奶粉事件，無不顯示現行食品供應鏈在透明度與可信度上的嚴重缺陷。消費者越來越難以確認食品的真實產地、生產過程與運輸條件，而企業與監管機關亦難以在食安事件爆發後迅速追查問題根源。</w:t>
      </w:r>
    </w:p>
    <w:p>
      <w:pPr>
        <w:spacing w:after="0" w:before="0" w:line="500" w:lineRule="exact"/>
      </w:pPr>
    </w:p>
    <w:p>
      <w:pPr>
        <w:spacing w:after="0" w:before="0" w:line="500" w:lineRule="exact"/>
        <w:jc w:val="left"/>
      </w:pPr>
      <w:r>
        <w:rPr>
          <w:rFonts w:ascii="標楷體" w:cs="標楷體" w:eastAsia="標楷體" w:hAnsi="標楷體" w:hint="eastAsia"/>
          <w:b w:val="false"/>
          <w:bCs w:val="false"/>
          <w:color w:val="000000"/>
          <w:sz w:val="28"/>
          <w:szCs w:val="28"/>
        </w:rPr>
        <w:t xml:space="preserve">與此同時，區塊鏈技術自比特幣問世以來，逐漸從加密貨幣領域擴展至各產業應用，其去中心化、不可竄改、可追溯等特性，使其成為解決食品供應鏈痛點的潛力技術。本研究旨在探討區塊鏈技術如何有效改善食品供應鏈的透明度、安全性與效率，並透過概念驗證系統（PoC）展示其實際可行性。</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1.2 研究目的與範圍</w:t>
      </w:r>
    </w:p>
    <w:p>
      <w:pPr>
        <w:spacing w:after="0" w:before="0" w:line="500" w:lineRule="exact"/>
        <w:jc w:val="left"/>
      </w:pPr>
      <w:r>
        <w:rPr>
          <w:rFonts w:ascii="標楷體" w:cs="標楷體" w:eastAsia="標楷體" w:hAnsi="標楷體" w:hint="eastAsia"/>
          <w:b w:val="false"/>
          <w:bCs w:val="false"/>
          <w:color w:val="000000"/>
          <w:sz w:val="28"/>
          <w:szCs w:val="28"/>
        </w:rPr>
        <w:t xml:space="preserve">本研究的主要目的如下：</w:t>
      </w:r>
    </w:p>
    <w:p>
      <w:pPr>
        <w:spacing w:after="0" w:before="0" w:line="500" w:lineRule="exact"/>
        <w:jc w:val="left"/>
      </w:pPr>
      <w:r>
        <w:rPr>
          <w:rFonts w:ascii="標楷體" w:cs="標楷體" w:eastAsia="標楷體" w:hAnsi="標楷體" w:hint="eastAsia"/>
          <w:b w:val="false"/>
          <w:bCs w:val="false"/>
          <w:color w:val="000000"/>
          <w:sz w:val="28"/>
          <w:szCs w:val="28"/>
        </w:rPr>
        <w:t xml:space="preserve">1. 梳理現行食品供應鏈的運作模式與痛點問題</w:t>
      </w:r>
    </w:p>
    <w:p>
      <w:pPr>
        <w:spacing w:after="0" w:before="0" w:line="500" w:lineRule="exact"/>
        <w:jc w:val="left"/>
      </w:pPr>
      <w:r>
        <w:rPr>
          <w:rFonts w:ascii="標楷體" w:cs="標楷體" w:eastAsia="標楷體" w:hAnsi="標楷體" w:hint="eastAsia"/>
          <w:b w:val="false"/>
          <w:bCs w:val="false"/>
          <w:color w:val="000000"/>
          <w:sz w:val="28"/>
          <w:szCs w:val="28"/>
        </w:rPr>
        <w:t xml:space="preserve">2. 探討區塊鏈技術導入食品供應鏈的可行方案與潛在價值</w:t>
      </w:r>
    </w:p>
    <w:p>
      <w:pPr>
        <w:spacing w:after="0" w:before="0" w:line="500" w:lineRule="exact"/>
        <w:jc w:val="left"/>
      </w:pPr>
      <w:r>
        <w:rPr>
          <w:rFonts w:ascii="標楷體" w:cs="標楷體" w:eastAsia="標楷體" w:hAnsi="標楷體" w:hint="eastAsia"/>
          <w:b w:val="false"/>
          <w:bCs w:val="false"/>
          <w:color w:val="000000"/>
          <w:sz w:val="28"/>
          <w:szCs w:val="28"/>
        </w:rPr>
        <w:t xml:space="preserve">3. 分析此應用場景面臨的機遇與挑戰</w:t>
      </w:r>
    </w:p>
    <w:p>
      <w:pPr>
        <w:spacing w:after="0" w:before="0" w:line="500" w:lineRule="exact"/>
        <w:jc w:val="left"/>
      </w:pPr>
      <w:r>
        <w:rPr>
          <w:rFonts w:ascii="標楷體" w:cs="標楷體" w:eastAsia="標楷體" w:hAnsi="標楷體" w:hint="eastAsia"/>
          <w:b w:val="false"/>
          <w:bCs w:val="false"/>
          <w:color w:val="000000"/>
          <w:sz w:val="28"/>
          <w:szCs w:val="28"/>
        </w:rPr>
        <w:t xml:space="preserve">4. 實作一套基於以太坊智能合約的食品溯源概念驗證系統</w:t>
      </w:r>
    </w:p>
    <w:p>
      <w:pPr>
        <w:spacing w:after="0" w:before="0" w:line="500" w:lineRule="exact"/>
      </w:pPr>
    </w:p>
    <w:p>
      <w:pPr>
        <w:spacing w:after="0" w:before="0" w:line="500" w:lineRule="exact"/>
        <w:jc w:val="left"/>
      </w:pPr>
      <w:r>
        <w:rPr>
          <w:rFonts w:ascii="標楷體" w:cs="標楷體" w:eastAsia="標楷體" w:hAnsi="標楷體" w:hint="eastAsia"/>
          <w:b w:val="false"/>
          <w:bCs w:val="false"/>
          <w:color w:val="000000"/>
          <w:sz w:val="28"/>
          <w:szCs w:val="28"/>
        </w:rPr>
        <w:t xml:space="preserve">研究範圍聚焦於從農產品生產端至終端消費者的完整供應鏈流程，以台灣本地農產品（如蔬果、肉品）為主要情境案例。</w:t>
      </w:r>
    </w:p>
    <w:p>
      <w:pPr>
        <w:spacing w:after="0" w:before="0" w:line="500" w:lineRule="exact"/>
      </w:pPr>
    </w:p>
    <w:p>
      <w:pPr>
        <w:pStyle w:val="Heading1"/>
        <w:pBdr>
          <w:bottom w:val="single" w:color="1F3864" w:sz="8" w:space="1"/>
        </w:pBdr>
        <w:spacing w:after="120" w:before="240" w:line="500" w:lineRule="exact"/>
      </w:pPr>
      <w:r>
        <w:rPr>
          <w:rFonts w:ascii="標楷體" w:cs="標楷體" w:eastAsia="標楷體" w:hAnsi="標楷體"/>
          <w:b/>
          <w:bCs/>
          <w:color w:val="1F3864"/>
          <w:sz w:val="36"/>
          <w:szCs w:val="36"/>
        </w:rPr>
        <w:t xml:space="preserve">二、食品供應鏈業務情境</w:t>
      </w:r>
    </w:p>
    <w:p>
      <w:pPr>
        <w:pStyle w:val="Heading2"/>
        <w:spacing w:after="80" w:before="200" w:line="500" w:lineRule="exact"/>
      </w:pPr>
      <w:r>
        <w:rPr>
          <w:rFonts w:ascii="標楷體" w:cs="標楷體" w:eastAsia="標楷體" w:hAnsi="標楷體"/>
          <w:b/>
          <w:bCs/>
          <w:color w:val="2F5496"/>
          <w:sz w:val="30"/>
          <w:szCs w:val="30"/>
        </w:rPr>
        <w:t xml:space="preserve">2.1 食品供應鏈運作流程概述</w:t>
      </w:r>
    </w:p>
    <w:p>
      <w:pPr>
        <w:spacing w:after="0" w:before="0" w:line="500" w:lineRule="exact"/>
        <w:jc w:val="left"/>
      </w:pPr>
      <w:r>
        <w:rPr>
          <w:rFonts w:ascii="標楷體" w:cs="標楷體" w:eastAsia="標楷體" w:hAnsi="標楷體" w:hint="eastAsia"/>
          <w:b w:val="false"/>
          <w:bCs w:val="false"/>
          <w:color w:val="000000"/>
          <w:sz w:val="28"/>
          <w:szCs w:val="28"/>
        </w:rPr>
        <w:t xml:space="preserve">食品供應鏈是一個涵蓋多個環節、多方參與者的複雜系統。一般而言，其流程可分為以下五個主要階段：</w:t>
      </w:r>
    </w:p>
    <w:p>
      <w:pPr>
        <w:spacing w:after="0" w:before="0" w:line="500" w:lineRule="exact"/>
      </w:pPr>
    </w:p>
    <w:p>
      <w:pPr>
        <w:spacing w:after="0" w:before="0" w:line="500" w:lineRule="exact"/>
        <w:ind w:left="360"/>
        <w:jc w:val="left"/>
      </w:pPr>
      <w:r>
        <w:rPr>
          <w:rFonts w:ascii="標楷體" w:cs="標楷體" w:eastAsia="標楷體" w:hAnsi="標楷體"/>
          <w:b/>
          <w:bCs/>
          <w:color w:val="2F5496"/>
          <w:sz w:val="28"/>
          <w:szCs w:val="28"/>
        </w:rPr>
        <w:t xml:space="preserve">【生產端（農場/產地）】</w:t>
      </w:r>
      <w:r>
        <w:rPr>
          <w:rFonts w:ascii="標楷體" w:cs="標楷體" w:eastAsia="標楷體" w:hAnsi="標楷體"/>
          <w:sz w:val="28"/>
          <w:szCs w:val="28"/>
        </w:rPr>
        <w:t xml:space="preserve">　農民或農場主負責種植、養殖作業，並記錄農藥使用、施肥情形、採收日期等基本資訊。</w:t>
      </w:r>
    </w:p>
    <w:p>
      <w:pPr>
        <w:spacing w:after="0" w:before="0" w:line="500" w:lineRule="exact"/>
      </w:pPr>
    </w:p>
    <w:p>
      <w:pPr>
        <w:spacing w:after="0" w:before="0" w:line="500" w:lineRule="exact"/>
        <w:ind w:left="360"/>
        <w:jc w:val="left"/>
      </w:pPr>
      <w:r>
        <w:rPr>
          <w:rFonts w:ascii="標楷體" w:cs="標楷體" w:eastAsia="標楷體" w:hAnsi="標楷體"/>
          <w:b/>
          <w:bCs/>
          <w:color w:val="2F5496"/>
          <w:sz w:val="28"/>
          <w:szCs w:val="28"/>
        </w:rPr>
        <w:t xml:space="preserve">【加工與包裝端】</w:t>
      </w:r>
      <w:r>
        <w:rPr>
          <w:rFonts w:ascii="標楷體" w:cs="標楷體" w:eastAsia="標楷體" w:hAnsi="標楷體"/>
          <w:sz w:val="28"/>
          <w:szCs w:val="28"/>
        </w:rPr>
        <w:t xml:space="preserve">　農產品進入食品加工廠後，經過清洗、分級、包裝等程序，部分產品需進行進一步加工。</w:t>
      </w:r>
    </w:p>
    <w:p>
      <w:pPr>
        <w:spacing w:after="0" w:before="0" w:line="500" w:lineRule="exact"/>
      </w:pPr>
    </w:p>
    <w:p>
      <w:pPr>
        <w:spacing w:after="0" w:before="0" w:line="500" w:lineRule="exact"/>
        <w:ind w:left="360"/>
        <w:jc w:val="left"/>
      </w:pPr>
      <w:r>
        <w:rPr>
          <w:rFonts w:ascii="標楷體" w:cs="標楷體" w:eastAsia="標楷體" w:hAnsi="標楷體"/>
          <w:b/>
          <w:bCs/>
          <w:color w:val="2F5496"/>
          <w:sz w:val="28"/>
          <w:szCs w:val="28"/>
        </w:rPr>
        <w:t xml:space="preserve">【物流與倉儲端】</w:t>
      </w:r>
      <w:r>
        <w:rPr>
          <w:rFonts w:ascii="標楷體" w:cs="標楷體" w:eastAsia="標楷體" w:hAnsi="標楷體"/>
          <w:sz w:val="28"/>
          <w:szCs w:val="28"/>
        </w:rPr>
        <w:t xml:space="preserve">　食品透過冷鏈物流體系運輸，需全程監控溫濕度以確保品質。</w:t>
      </w:r>
    </w:p>
    <w:p>
      <w:pPr>
        <w:spacing w:after="0" w:before="0" w:line="500" w:lineRule="exact"/>
      </w:pPr>
    </w:p>
    <w:p>
      <w:pPr>
        <w:spacing w:after="0" w:before="0" w:line="500" w:lineRule="exact"/>
        <w:ind w:left="360"/>
        <w:jc w:val="left"/>
      </w:pPr>
      <w:r>
        <w:rPr>
          <w:rFonts w:ascii="標楷體" w:cs="標楷體" w:eastAsia="標楷體" w:hAnsi="標楷體"/>
          <w:b/>
          <w:bCs/>
          <w:color w:val="2F5496"/>
          <w:sz w:val="28"/>
          <w:szCs w:val="28"/>
        </w:rPr>
        <w:t xml:space="preserve">【零售端】</w:t>
      </w:r>
      <w:r>
        <w:rPr>
          <w:rFonts w:ascii="標楷體" w:cs="標楷體" w:eastAsia="標楷體" w:hAnsi="標楷體"/>
          <w:sz w:val="28"/>
          <w:szCs w:val="28"/>
        </w:rPr>
        <w:t xml:space="preserve">　超市、量販店等零售通路負責最終販售，並需進行商品管理、保鮮期追蹤等作業。</w:t>
      </w:r>
    </w:p>
    <w:p>
      <w:pPr>
        <w:spacing w:after="0" w:before="0" w:line="500" w:lineRule="exact"/>
      </w:pPr>
    </w:p>
    <w:p>
      <w:pPr>
        <w:spacing w:after="0" w:before="0" w:line="500" w:lineRule="exact"/>
        <w:ind w:left="360"/>
        <w:jc w:val="left"/>
      </w:pPr>
      <w:r>
        <w:rPr>
          <w:rFonts w:ascii="標楷體" w:cs="標楷體" w:eastAsia="標楷體" w:hAnsi="標楷體"/>
          <w:b/>
          <w:bCs/>
          <w:color w:val="2F5496"/>
          <w:sz w:val="28"/>
          <w:szCs w:val="28"/>
        </w:rPr>
        <w:t xml:space="preserve">【消費端】</w:t>
      </w:r>
      <w:r>
        <w:rPr>
          <w:rFonts w:ascii="標楷體" w:cs="標楷體" w:eastAsia="標楷體" w:hAnsi="標楷體"/>
          <w:sz w:val="28"/>
          <w:szCs w:val="28"/>
        </w:rPr>
        <w:t xml:space="preserve">　消費者購買商品，理想情境下應能查詢商品的完整履歷。</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2.2 主要參與者與角色</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00"/>
      </w:tblGrid>
      <w:tr>
        <w:tc>
          <w:tcPr>
            <w:tcW w:type="dxa" w:w="28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參與者</w:t>
            </w:r>
          </w:p>
        </w:tc>
        <w:tc>
          <w:tcPr>
            <w:tcW w:type="dxa" w:w="34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主要職責</w:t>
            </w:r>
          </w:p>
        </w:tc>
        <w:tc>
          <w:tcPr>
            <w:tcW w:type="dxa" w:w="32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資料需求</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農民 / 生產者</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生產、記錄產地資訊</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寫入產品基本資料</w:t>
            </w:r>
          </w:p>
        </w:tc>
      </w:tr>
      <w:tr>
        <w:tc>
          <w:tcPr>
            <w:tcW w:type="dxa" w:w="2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加工廠</w:t>
            </w:r>
          </w:p>
        </w:tc>
        <w:tc>
          <w:tcPr>
            <w:tcW w:type="dxa" w:w="3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加工、包裝、品管</w:t>
            </w:r>
          </w:p>
        </w:tc>
        <w:tc>
          <w:tcPr>
            <w:tcW w:type="dxa" w:w="3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記錄加工批次與成分</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物流商</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運輸、倉儲管理</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記錄溫度、位置、交接時間</w:t>
            </w:r>
          </w:p>
        </w:tc>
      </w:tr>
      <w:tr>
        <w:tc>
          <w:tcPr>
            <w:tcW w:type="dxa" w:w="2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零售商</w:t>
            </w:r>
          </w:p>
        </w:tc>
        <w:tc>
          <w:tcPr>
            <w:tcW w:type="dxa" w:w="3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陳列、銷售</w:t>
            </w:r>
          </w:p>
        </w:tc>
        <w:tc>
          <w:tcPr>
            <w:tcW w:type="dxa" w:w="3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讀取商品履歷、更新庫存狀態</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消費者</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購買、查詢資訊</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查詢完整供應鏈履歷</w:t>
            </w:r>
          </w:p>
        </w:tc>
      </w:tr>
      <w:tr>
        <w:tc>
          <w:tcPr>
            <w:tcW w:type="dxa" w:w="2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監管機關</w:t>
            </w:r>
          </w:p>
        </w:tc>
        <w:tc>
          <w:tcPr>
            <w:tcW w:type="dxa" w:w="3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稽查、認證</w:t>
            </w:r>
          </w:p>
        </w:tc>
        <w:tc>
          <w:tcPr>
            <w:tcW w:type="dxa" w:w="3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稽核所有環節資料</w:t>
            </w:r>
          </w:p>
        </w:tc>
      </w:tr>
    </w:tbl>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2.3 典型業務場景</w:t>
      </w:r>
    </w:p>
    <w:p>
      <w:pPr>
        <w:spacing w:after="0" w:before="0" w:line="500" w:lineRule="exact"/>
        <w:jc w:val="left"/>
      </w:pPr>
      <w:r>
        <w:rPr>
          <w:rFonts w:ascii="標楷體" w:cs="標楷體" w:eastAsia="標楷體" w:hAnsi="標楷體" w:hint="eastAsia"/>
          <w:b w:val="false"/>
          <w:bCs w:val="false"/>
          <w:color w:val="000000"/>
          <w:sz w:val="28"/>
          <w:szCs w:val="28"/>
        </w:rPr>
        <w:t xml:space="preserve">以台灣有機蔬菜的供應鏈為例：宜蘭的有機農場種植高麗菜，經採收後由物流業者以冷藏車運送至台北的加工廠進行清洗包裝，再配送至各大超市門市。消費者在超市購買時，若能透過包裝上的 QR Code 掃描查詢從農場到貨架的完整歷程，將大幅提升購買信心，亦能有效杜絕產地造假等問題。</w:t>
      </w:r>
    </w:p>
    <w:p>
      <w:pPr>
        <w:spacing w:after="0" w:before="0" w:line="500" w:lineRule="exact"/>
      </w:pPr>
    </w:p>
    <w:p>
      <w:pPr>
        <w:pStyle w:val="Heading1"/>
        <w:pBdr>
          <w:bottom w:val="single" w:color="1F3864" w:sz="8" w:space="1"/>
        </w:pBdr>
        <w:spacing w:after="120" w:before="240" w:line="500" w:lineRule="exact"/>
      </w:pPr>
      <w:r>
        <w:rPr>
          <w:rFonts w:ascii="標楷體" w:cs="標楷體" w:eastAsia="標楷體" w:hAnsi="標楷體"/>
          <w:b/>
          <w:bCs/>
          <w:color w:val="1F3864"/>
          <w:sz w:val="36"/>
          <w:szCs w:val="36"/>
        </w:rPr>
        <w:t xml:space="preserve">三、食品供應鏈現狀與關鍵問題</w:t>
      </w:r>
    </w:p>
    <w:p>
      <w:pPr>
        <w:pStyle w:val="Heading2"/>
        <w:spacing w:after="80" w:before="200" w:line="500" w:lineRule="exact"/>
      </w:pPr>
      <w:r>
        <w:rPr>
          <w:rFonts w:ascii="標楷體" w:cs="標楷體" w:eastAsia="標楷體" w:hAnsi="標楷體"/>
          <w:b/>
          <w:bCs/>
          <w:color w:val="2F5496"/>
          <w:sz w:val="30"/>
          <w:szCs w:val="30"/>
        </w:rPr>
        <w:t xml:space="preserve">3.1 資訊不透明與資料孤島問題</w:t>
      </w:r>
    </w:p>
    <w:p>
      <w:pPr>
        <w:spacing w:after="0" w:before="0" w:line="500" w:lineRule="exact"/>
        <w:jc w:val="left"/>
      </w:pPr>
      <w:r>
        <w:rPr>
          <w:rFonts w:ascii="標楷體" w:cs="標楷體" w:eastAsia="標楷體" w:hAnsi="標楷體" w:hint="eastAsia"/>
          <w:b w:val="false"/>
          <w:bCs w:val="false"/>
          <w:color w:val="000000"/>
          <w:sz w:val="28"/>
          <w:szCs w:val="28"/>
        </w:rPr>
        <w:t xml:space="preserve">現行食品供應鏈中，各參與者往往各自維護獨立的資料系統，農民使用農務紀錄本、加工廠使用 ERP 系統、物流商使用 GPS 追蹤系統，這些系統彼此不互通，形成「資料孤島」（Data Silos）現象。當食安問題發生時，跨系統的資料整合曠日費時，嚴重延誤處理時機。</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3.2 假冒偽劣與產地造假</w:t>
      </w:r>
    </w:p>
    <w:p>
      <w:pPr>
        <w:spacing w:after="0" w:before="0" w:line="500" w:lineRule="exact"/>
        <w:jc w:val="left"/>
      </w:pPr>
      <w:r>
        <w:rPr>
          <w:rFonts w:ascii="標楷體" w:cs="標楷體" w:eastAsia="標楷體" w:hAnsi="標楷體" w:hint="eastAsia"/>
          <w:b w:val="false"/>
          <w:bCs w:val="false"/>
          <w:color w:val="000000"/>
          <w:sz w:val="28"/>
          <w:szCs w:val="28"/>
        </w:rPr>
        <w:t xml:space="preserve">產地標示造假是食品業長期存在的問題。不肖業者可能以廉價進口食材混充本地有機農產品，或偽造有機認證標章。由於現行紙本憑證容易偽造，消費者與監管機關難以有效辨別真偽。根據調查，全球食品詐欺每年造成超過 400 億美元的經濟損失。</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3.3 食安事件應對遲緩</w:t>
      </w:r>
    </w:p>
    <w:p>
      <w:pPr>
        <w:spacing w:after="0" w:before="0" w:line="500" w:lineRule="exact"/>
        <w:jc w:val="left"/>
      </w:pPr>
      <w:r>
        <w:rPr>
          <w:rFonts w:ascii="標楷體" w:cs="標楷體" w:eastAsia="標楷體" w:hAnsi="標楷體" w:hint="eastAsia"/>
          <w:b w:val="false"/>
          <w:bCs w:val="false"/>
          <w:color w:val="000000"/>
          <w:sz w:val="28"/>
          <w:szCs w:val="28"/>
        </w:rPr>
        <w:t xml:space="preserve">當食品安全事件爆發時，追查問題源頭往往需要數天甚至數週的時間。以 2011 年台灣塑化劑事件為例，事件爆發後相關機關花費大量人力物力才逐步釐清受污染的產品範圍，期間已造成難以估計的公共健康風險。</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3.4 冷鏈管理難以稽核</w:t>
      </w:r>
    </w:p>
    <w:p>
      <w:pPr>
        <w:spacing w:after="0" w:before="0" w:line="500" w:lineRule="exact"/>
        <w:jc w:val="left"/>
      </w:pPr>
      <w:r>
        <w:rPr>
          <w:rFonts w:ascii="標楷體" w:cs="標楷體" w:eastAsia="標楷體" w:hAnsi="標楷體" w:hint="eastAsia"/>
          <w:b w:val="false"/>
          <w:bCs w:val="false"/>
          <w:color w:val="000000"/>
          <w:sz w:val="28"/>
          <w:szCs w:val="28"/>
        </w:rPr>
        <w:t xml:space="preserve">冷凍食品、生鮮肉品等需要全程冷鏈運輸的商品，其溫度記錄目前多依賴物流商自行填報，缺乏客觀可信的第三方驗證機制。一旦冷鏈斷鏈，責任歸屬往往成為各方推諉的爭議焦點。</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3.5 人工作業效率低落</w:t>
      </w:r>
    </w:p>
    <w:p>
      <w:pPr>
        <w:spacing w:after="0" w:before="0" w:line="500" w:lineRule="exact"/>
        <w:jc w:val="left"/>
      </w:pPr>
      <w:r>
        <w:rPr>
          <w:rFonts w:ascii="標楷體" w:cs="標楷體" w:eastAsia="標楷體" w:hAnsi="標楷體" w:hint="eastAsia"/>
          <w:b w:val="false"/>
          <w:bCs w:val="false"/>
          <w:color w:val="000000"/>
          <w:sz w:val="28"/>
          <w:szCs w:val="28"/>
        </w:rPr>
        <w:t xml:space="preserve">供應鏈各環節大量依賴紙本文件與人工核對，不僅耗費人力，更容易因人為疏失造成資料錯誤。進出口食品還需應付各國不同的法規文件要求，流程繁複且容易出錯。</w:t>
      </w:r>
    </w:p>
    <w:p>
      <w:pPr>
        <w:spacing w:after="0" w:before="0" w:line="500" w:lineRule="exact"/>
      </w:pPr>
    </w:p>
    <w:p>
      <w:pPr>
        <w:pStyle w:val="Heading1"/>
        <w:pBdr>
          <w:bottom w:val="single" w:color="1F3864" w:sz="8" w:space="1"/>
        </w:pBdr>
        <w:spacing w:after="120" w:before="240" w:line="500" w:lineRule="exact"/>
      </w:pPr>
      <w:r>
        <w:rPr>
          <w:rFonts w:ascii="標楷體" w:cs="標楷體" w:eastAsia="標楷體" w:hAnsi="標楷體"/>
          <w:b/>
          <w:bCs/>
          <w:color w:val="1F3864"/>
          <w:sz w:val="36"/>
          <w:szCs w:val="36"/>
        </w:rPr>
        <w:t xml:space="preserve">四、區塊鏈解決方案的價值與優勢</w:t>
      </w:r>
    </w:p>
    <w:p>
      <w:pPr>
        <w:pStyle w:val="Heading2"/>
        <w:spacing w:after="80" w:before="200" w:line="500" w:lineRule="exact"/>
      </w:pPr>
      <w:r>
        <w:rPr>
          <w:rFonts w:ascii="標楷體" w:cs="標楷體" w:eastAsia="標楷體" w:hAnsi="標楷體"/>
          <w:b/>
          <w:bCs/>
          <w:color w:val="2F5496"/>
          <w:sz w:val="30"/>
          <w:szCs w:val="30"/>
        </w:rPr>
        <w:t xml:space="preserve">4.1 區塊鏈技術核心特性</w:t>
      </w:r>
    </w:p>
    <w:p>
      <w:pPr>
        <w:spacing w:after="0" w:before="0" w:line="500" w:lineRule="exact"/>
        <w:jc w:val="left"/>
      </w:pPr>
      <w:r>
        <w:rPr>
          <w:rFonts w:ascii="標楷體" w:cs="標楷體" w:eastAsia="標楷體" w:hAnsi="標楷體" w:hint="eastAsia"/>
          <w:b w:val="false"/>
          <w:bCs w:val="false"/>
          <w:color w:val="000000"/>
          <w:sz w:val="28"/>
          <w:szCs w:val="28"/>
        </w:rPr>
        <w:t xml:space="preserve">在介紹解決方案前，先簡要說明區塊鏈的核心技術特性：</w:t>
      </w:r>
    </w:p>
    <w:p>
      <w:pPr>
        <w:spacing w:after="0" w:before="0" w:line="500" w:lineRule="exac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特性</w:t>
            </w:r>
          </w:p>
        </w:tc>
        <w:tc>
          <w:tcPr>
            <w:tcW w:type="dxa" w:w="32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技術說明</w:t>
            </w:r>
          </w:p>
        </w:tc>
        <w:tc>
          <w:tcPr>
            <w:tcW w:type="dxa" w:w="38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對食品供應鏈的意義</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去中心化</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資料分散於多個節點</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無單一控制方，各方地位對等</w:t>
            </w:r>
          </w:p>
        </w:tc>
      </w:tr>
      <w:tr>
        <w:tc>
          <w:tcPr>
            <w:tcW w:type="dxa" w:w="2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不可竄改</w:t>
            </w:r>
          </w:p>
        </w:tc>
        <w:tc>
          <w:tcPr>
            <w:tcW w:type="dxa" w:w="3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密碼學雜湊鎖定資料</w:t>
            </w:r>
          </w:p>
        </w:tc>
        <w:tc>
          <w:tcPr>
            <w:tcW w:type="dxa" w:w="3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杜絕產地造假、記錄竄改</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透明可追溯</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全程履歷公開可查</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消費者可即時查詢食品來源</w:t>
            </w:r>
          </w:p>
        </w:tc>
      </w:tr>
      <w:tr>
        <w:tc>
          <w:tcPr>
            <w:tcW w:type="dxa" w:w="2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智能合約</w:t>
            </w:r>
          </w:p>
        </w:tc>
        <w:tc>
          <w:tcPr>
            <w:tcW w:type="dxa" w:w="3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自動化執行業務邏輯</w:t>
            </w:r>
          </w:p>
        </w:tc>
        <w:tc>
          <w:tcPr>
            <w:tcW w:type="dxa" w:w="3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自動付款、超溫警報、認證管理</w:t>
            </w:r>
          </w:p>
        </w:tc>
      </w:tr>
    </w:tbl>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4.2 食品溯源全程上鏈</w:t>
      </w:r>
    </w:p>
    <w:p>
      <w:pPr>
        <w:spacing w:after="0" w:before="0" w:line="500" w:lineRule="exact"/>
        <w:jc w:val="left"/>
      </w:pPr>
      <w:r>
        <w:rPr>
          <w:rFonts w:ascii="標楷體" w:cs="標楷體" w:eastAsia="標楷體" w:hAnsi="標楷體" w:hint="eastAsia"/>
          <w:b w:val="false"/>
          <w:bCs w:val="false"/>
          <w:color w:val="000000"/>
          <w:sz w:val="28"/>
          <w:szCs w:val="28"/>
        </w:rPr>
        <w:t xml:space="preserve">透過區塊鏈技術，食品供應鏈的每一個環節均可將關鍵資訊寫入鏈上，形成完整且不可竄改的食品履歷。每一筆交易記錄包含：時間戳記、操作者身份、地理位置、產品資訊（批次號、重量、品項）及相關認證文件的雜湊值。消費者只需掃描 QR Code，即可在數秒內查閱從農場到貨架的完整歷程。</w:t>
      </w:r>
    </w:p>
    <w:p>
      <w:pPr>
        <w:spacing w:after="0" w:before="0" w:line="500" w:lineRule="exact"/>
      </w:pPr>
    </w:p>
    <w:p>
      <w:pPr>
        <w:spacing w:after="0" w:before="0" w:line="500" w:lineRule="exact"/>
        <w:jc w:val="left"/>
      </w:pPr>
      <w:r>
        <w:rPr>
          <w:rFonts w:ascii="標楷體" w:cs="標楷體" w:eastAsia="標楷體" w:hAnsi="標楷體" w:hint="eastAsia"/>
          <w:b w:val="false"/>
          <w:bCs w:val="false"/>
          <w:color w:val="000000"/>
          <w:sz w:val="28"/>
          <w:szCs w:val="28"/>
        </w:rPr>
        <w:t xml:space="preserve">實際案例方面，沃爾瑪（Walmart）與 IBM 合作導入基於 Hyperledger Fabric 的食品溯源系統後，芒果的產地追溯時間從原本的 6.5 天縮短至 2.2 秒，成效顯著。</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4.3 智能合約實現自動化流程</w:t>
      </w:r>
    </w:p>
    <w:p>
      <w:pPr>
        <w:spacing w:after="0" w:before="0" w:line="500" w:lineRule="exact"/>
        <w:jc w:val="left"/>
      </w:pPr>
      <w:r>
        <w:rPr>
          <w:rFonts w:ascii="標楷體" w:cs="標楷體" w:eastAsia="標楷體" w:hAnsi="標楷體" w:hint="eastAsia"/>
          <w:b w:val="false"/>
          <w:bCs w:val="false"/>
          <w:color w:val="000000"/>
          <w:sz w:val="28"/>
          <w:szCs w:val="28"/>
        </w:rPr>
        <w:t xml:space="preserve">智能合約可用於自動化供應鏈中的多項業務流程：</w:t>
      </w:r>
    </w:p>
    <w:p>
      <w:pPr>
        <w:spacing w:after="0" w:before="0" w:line="500" w:lineRule="exact"/>
        <w:ind w:left="360"/>
        <w:jc w:val="left"/>
      </w:pPr>
      <w:r>
        <w:rPr>
          <w:rFonts w:ascii="標楷體" w:cs="標楷體" w:eastAsia="標楷體" w:hAnsi="標楷體" w:hint="eastAsia"/>
          <w:b w:val="false"/>
          <w:bCs w:val="false"/>
          <w:color w:val="000000"/>
          <w:sz w:val="28"/>
          <w:szCs w:val="28"/>
        </w:rPr>
        <w:t xml:space="preserve">【自動付款】當物流商完成交貨並由收貨方確認後，智能合約自動觸發付款，減少帳款糾紛。</w:t>
      </w:r>
    </w:p>
    <w:p>
      <w:pPr>
        <w:spacing w:after="0" w:before="0" w:line="500" w:lineRule="exact"/>
      </w:pPr>
    </w:p>
    <w:p>
      <w:pPr>
        <w:spacing w:after="0" w:before="0" w:line="500" w:lineRule="exact"/>
        <w:ind w:left="360"/>
        <w:jc w:val="left"/>
      </w:pPr>
      <w:r>
        <w:rPr>
          <w:rFonts w:ascii="標楷體" w:cs="標楷體" w:eastAsia="標楷體" w:hAnsi="標楷體" w:hint="eastAsia"/>
          <w:b w:val="false"/>
          <w:bCs w:val="false"/>
          <w:color w:val="000000"/>
          <w:sz w:val="28"/>
          <w:szCs w:val="28"/>
        </w:rPr>
        <w:t xml:space="preserve">【品質驗核】設定溫度閾值，若 IoT 感測器偵測到冷鏈溫度超標，智能合約自動記錄異常事件並通知相關方。</w:t>
      </w:r>
    </w:p>
    <w:p>
      <w:pPr>
        <w:spacing w:after="0" w:before="0" w:line="500" w:lineRule="exact"/>
      </w:pPr>
    </w:p>
    <w:p>
      <w:pPr>
        <w:spacing w:after="0" w:before="0" w:line="500" w:lineRule="exact"/>
        <w:ind w:left="360"/>
        <w:jc w:val="left"/>
      </w:pPr>
      <w:r>
        <w:rPr>
          <w:rFonts w:ascii="標楷體" w:cs="標楷體" w:eastAsia="標楷體" w:hAnsi="標楷體" w:hint="eastAsia"/>
          <w:b w:val="false"/>
          <w:bCs w:val="false"/>
          <w:color w:val="000000"/>
          <w:sz w:val="28"/>
          <w:szCs w:val="28"/>
        </w:rPr>
        <w:t xml:space="preserve">【認證管理】有機認證、產地認證等文件的有效期限由智能合約自動管理，到期自動失效並提醒更新。</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4.4 建立多方信任機制</w:t>
      </w:r>
    </w:p>
    <w:p>
      <w:pPr>
        <w:spacing w:after="0" w:before="0" w:line="500" w:lineRule="exact"/>
        <w:jc w:val="left"/>
      </w:pPr>
      <w:r>
        <w:rPr>
          <w:rFonts w:ascii="標楷體" w:cs="標楷體" w:eastAsia="標楷體" w:hAnsi="標楷體" w:hint="eastAsia"/>
          <w:b w:val="false"/>
          <w:bCs w:val="false"/>
          <w:color w:val="000000"/>
          <w:sz w:val="28"/>
          <w:szCs w:val="28"/>
        </w:rPr>
        <w:t xml:space="preserve">在傳統供應鏈中，各方之間的信任建立依賴合約與第三方機構的背書，成本高且效率低。區塊鏈的去中心化信任機制使各方無需完全信任彼此，只需信任共同遵守的程式規則（智能合約）即可，大幅降低信任成本。</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4.5 提升消費者透明度</w:t>
      </w:r>
    </w:p>
    <w:p>
      <w:pPr>
        <w:spacing w:after="0" w:before="0" w:line="500" w:lineRule="exact"/>
        <w:jc w:val="left"/>
      </w:pPr>
      <w:r>
        <w:rPr>
          <w:rFonts w:ascii="標楷體" w:cs="標楷體" w:eastAsia="標楷體" w:hAnsi="標楷體" w:hint="eastAsia"/>
          <w:b w:val="false"/>
          <w:bCs w:val="false"/>
          <w:color w:val="000000"/>
          <w:sz w:val="28"/>
          <w:szCs w:val="28"/>
        </w:rPr>
        <w:t xml:space="preserve">消費者可透過手機 App 或網頁，以商品條碼或 QR Code 查詢：產地農場資訊（位置、認證）、農藥使用紀錄、加工廠資訊與衛生稽核結果、物流溫度記錄及碳足跡資訊等，真正實現「食在安心」。</w:t>
      </w:r>
    </w:p>
    <w:p>
      <w:pPr>
        <w:spacing w:after="0" w:before="0" w:line="500" w:lineRule="exact"/>
      </w:pPr>
    </w:p>
    <w:p>
      <w:pPr>
        <w:pStyle w:val="Heading1"/>
        <w:pBdr>
          <w:bottom w:val="single" w:color="1F3864" w:sz="8" w:space="1"/>
        </w:pBdr>
        <w:spacing w:after="120" w:before="240" w:line="500" w:lineRule="exact"/>
      </w:pPr>
      <w:r>
        <w:rPr>
          <w:rFonts w:ascii="標楷體" w:cs="標楷體" w:eastAsia="標楷體" w:hAnsi="標楷體"/>
          <w:b/>
          <w:bCs/>
          <w:color w:val="1F3864"/>
          <w:sz w:val="36"/>
          <w:szCs w:val="36"/>
        </w:rPr>
        <w:t xml:space="preserve">五、機遇與挑戰</w:t>
      </w:r>
    </w:p>
    <w:p>
      <w:pPr>
        <w:pStyle w:val="Heading2"/>
        <w:spacing w:after="80" w:before="200" w:line="500" w:lineRule="exact"/>
      </w:pPr>
      <w:r>
        <w:rPr>
          <w:rFonts w:ascii="標楷體" w:cs="標楷體" w:eastAsia="標楷體" w:hAnsi="標楷體"/>
          <w:b/>
          <w:bCs/>
          <w:color w:val="2F5496"/>
          <w:sz w:val="30"/>
          <w:szCs w:val="30"/>
        </w:rPr>
        <w:t xml:space="preserve">5.1 機遇分析</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機遇</w:t>
            </w:r>
          </w:p>
        </w:tc>
        <w:tc>
          <w:tcPr>
            <w:tcW w:type="dxa" w:w="66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說明</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政策法規推動</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台灣食安法對追溯追蹤制度有明確規範，為區塊鏈溯源系統提供政策需求基礎</w:t>
            </w:r>
          </w:p>
        </w:tc>
      </w:tr>
      <w:tr>
        <w:tc>
          <w:tcPr>
            <w:tcW w:type="dxa" w:w="2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消費者意識提升</w:t>
            </w:r>
          </w:p>
        </w:tc>
        <w:tc>
          <w:tcPr>
            <w:tcW w:type="dxa" w:w="66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超過七成消費者表示願意為可溯源食品支付更高的價格，形成市場需求</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IoT 技術成熟</w:t>
            </w:r>
          </w:p>
        </w:tc>
        <w:tc>
          <w:tcPr>
            <w:tcW w:type="dxa" w:w="6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RFID、GPS、溫度感測器日益普及且成本降低，解決鏈上鏈下串接問題</w:t>
            </w:r>
          </w:p>
        </w:tc>
      </w:tr>
      <w:tr>
        <w:tc>
          <w:tcPr>
            <w:tcW w:type="dxa" w:w="2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成功案例佐證</w:t>
            </w:r>
          </w:p>
        </w:tc>
        <w:tc>
          <w:tcPr>
            <w:tcW w:type="dxa" w:w="66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沃爾瑪、阿里巴巴、雀巢等國際企業已有成功導入案例可供參考</w:t>
            </w:r>
          </w:p>
        </w:tc>
      </w:tr>
    </w:tbl>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5.2 挑戰分析</w:t>
      </w:r>
    </w:p>
    <w:p>
      <w:pPr>
        <w:spacing w:after="60" w:before="160" w:line="500" w:lineRule="exact"/>
      </w:pPr>
      <w:r>
        <w:rPr>
          <w:rFonts w:ascii="標楷體" w:cs="標楷體" w:eastAsia="標楷體" w:hAnsi="標楷體"/>
          <w:b/>
          <w:bCs/>
          <w:color w:val="2F5496"/>
          <w:sz w:val="28"/>
          <w:szCs w:val="28"/>
        </w:rPr>
        <w:t xml:space="preserve">（1）鏈上鏈下資料一致性（Oracle Problem）</w:t>
      </w:r>
    </w:p>
    <w:p>
      <w:pPr>
        <w:spacing w:after="0" w:before="0" w:line="500" w:lineRule="exact"/>
        <w:ind w:left="360"/>
        <w:jc w:val="left"/>
      </w:pPr>
      <w:r>
        <w:rPr>
          <w:rFonts w:ascii="標楷體" w:cs="標楷體" w:eastAsia="標楷體" w:hAnsi="標楷體" w:hint="eastAsia"/>
          <w:b w:val="false"/>
          <w:bCs w:val="false"/>
          <w:color w:val="000000"/>
          <w:sz w:val="28"/>
          <w:szCs w:val="28"/>
        </w:rPr>
        <w:t xml:space="preserve">區塊鏈能確保鏈上資料的不可竄改性，但若源頭輸入的資料本身即為假造，區塊鏈無法自動辨別。如何確保鏈下實體資料的真實性，仍是一大挑戰，需結合 IoT 感測器、物理標記（防偽標籤）等手段加以輔助。</w:t>
      </w:r>
    </w:p>
    <w:p>
      <w:pPr>
        <w:spacing w:after="0" w:before="0" w:line="500" w:lineRule="exact"/>
      </w:pPr>
    </w:p>
    <w:p>
      <w:pPr>
        <w:spacing w:after="60" w:before="160" w:line="500" w:lineRule="exact"/>
      </w:pPr>
      <w:r>
        <w:rPr>
          <w:rFonts w:ascii="標楷體" w:cs="標楷體" w:eastAsia="標楷體" w:hAnsi="標楷體"/>
          <w:b/>
          <w:bCs/>
          <w:color w:val="2F5496"/>
          <w:sz w:val="28"/>
          <w:szCs w:val="28"/>
        </w:rPr>
        <w:t xml:space="preserve">（2）導入成本與中小企業門檻</w:t>
      </w:r>
    </w:p>
    <w:p>
      <w:pPr>
        <w:spacing w:after="0" w:before="0" w:line="500" w:lineRule="exact"/>
        <w:ind w:left="360"/>
        <w:jc w:val="left"/>
      </w:pPr>
      <w:r>
        <w:rPr>
          <w:rFonts w:ascii="標楷體" w:cs="標楷體" w:eastAsia="標楷體" w:hAnsi="標楷體" w:hint="eastAsia"/>
          <w:b w:val="false"/>
          <w:bCs w:val="false"/>
          <w:color w:val="000000"/>
          <w:sz w:val="28"/>
          <w:szCs w:val="28"/>
        </w:rPr>
        <w:t xml:space="preserve">食品供應鏈中有大量中小型農場與加工廠，其資訊化程度低，導入區塊鏈系統需投入設備採購、系統整合與人員培訓等成本，可能形成採用障礙。</w:t>
      </w:r>
    </w:p>
    <w:p>
      <w:pPr>
        <w:spacing w:after="0" w:before="0" w:line="500" w:lineRule="exact"/>
      </w:pPr>
    </w:p>
    <w:p>
      <w:pPr>
        <w:spacing w:after="60" w:before="160" w:line="500" w:lineRule="exact"/>
      </w:pPr>
      <w:r>
        <w:rPr>
          <w:rFonts w:ascii="標楷體" w:cs="標楷體" w:eastAsia="標楷體" w:hAnsi="標楷體"/>
          <w:b/>
          <w:bCs/>
          <w:color w:val="2F5496"/>
          <w:sz w:val="28"/>
          <w:szCs w:val="28"/>
        </w:rPr>
        <w:t xml:space="preserve">（3）各方協作意願</w:t>
      </w:r>
    </w:p>
    <w:p>
      <w:pPr>
        <w:spacing w:after="0" w:before="0" w:line="500" w:lineRule="exact"/>
        <w:ind w:left="360"/>
        <w:jc w:val="left"/>
      </w:pPr>
      <w:r>
        <w:rPr>
          <w:rFonts w:ascii="標楷體" w:cs="標楷體" w:eastAsia="標楷體" w:hAnsi="標楷體" w:hint="eastAsia"/>
          <w:b w:val="false"/>
          <w:bCs w:val="false"/>
          <w:color w:val="000000"/>
          <w:sz w:val="28"/>
          <w:szCs w:val="28"/>
        </w:rPr>
        <w:t xml:space="preserve">供應鏈系統的價值在於各方共同參與，若部分環節拒絕上鏈，整體溯源效果將大打折扣。如何形成產業聯盟、建立共同標準，是推廣的關鍵挑戰。</w:t>
      </w:r>
    </w:p>
    <w:p>
      <w:pPr>
        <w:spacing w:after="0" w:before="0" w:line="500" w:lineRule="exact"/>
      </w:pPr>
    </w:p>
    <w:p>
      <w:pPr>
        <w:spacing w:after="60" w:before="160" w:line="500" w:lineRule="exact"/>
      </w:pPr>
      <w:r>
        <w:rPr>
          <w:rFonts w:ascii="標楷體" w:cs="標楷體" w:eastAsia="標楷體" w:hAnsi="標楷體"/>
          <w:b/>
          <w:bCs/>
          <w:color w:val="2F5496"/>
          <w:sz w:val="28"/>
          <w:szCs w:val="28"/>
        </w:rPr>
        <w:t xml:space="preserve">（4）資料隱私與商業機密</w:t>
      </w:r>
    </w:p>
    <w:p>
      <w:pPr>
        <w:spacing w:after="0" w:before="0" w:line="500" w:lineRule="exact"/>
        <w:ind w:left="360"/>
        <w:jc w:val="left"/>
      </w:pPr>
      <w:r>
        <w:rPr>
          <w:rFonts w:ascii="標楷體" w:cs="標楷體" w:eastAsia="標楷體" w:hAnsi="標楷體" w:hint="eastAsia"/>
          <w:b w:val="false"/>
          <w:bCs w:val="false"/>
          <w:color w:val="000000"/>
          <w:sz w:val="28"/>
          <w:szCs w:val="28"/>
        </w:rPr>
        <w:t xml:space="preserve">採購價格、供應商名單等商業機密若完全公開上鏈，可能引發競爭疑慮。需透過許可式區塊鏈（Permissioned Blockchain）或零知識證明（Zero-Knowledge Proof）等技術進行分層存取控制。</w:t>
      </w:r>
    </w:p>
    <w:p>
      <w:pPr>
        <w:spacing w:after="0" w:before="0" w:line="500" w:lineRule="exact"/>
      </w:pPr>
    </w:p>
    <w:p>
      <w:pPr>
        <w:spacing w:after="60" w:before="160" w:line="500" w:lineRule="exact"/>
      </w:pPr>
      <w:r>
        <w:rPr>
          <w:rFonts w:ascii="標楷體" w:cs="標楷體" w:eastAsia="標楷體" w:hAnsi="標楷體"/>
          <w:b/>
          <w:bCs/>
          <w:color w:val="2F5496"/>
          <w:sz w:val="28"/>
          <w:szCs w:val="28"/>
        </w:rPr>
        <w:t xml:space="preserve">（5）效能與擴展性</w:t>
      </w:r>
    </w:p>
    <w:p>
      <w:pPr>
        <w:spacing w:after="0" w:before="0" w:line="500" w:lineRule="exact"/>
        <w:ind w:left="360"/>
        <w:jc w:val="left"/>
      </w:pPr>
      <w:r>
        <w:rPr>
          <w:rFonts w:ascii="標楷體" w:cs="標楷體" w:eastAsia="標楷體" w:hAnsi="標楷體" w:hint="eastAsia"/>
          <w:b w:val="false"/>
          <w:bCs w:val="false"/>
          <w:color w:val="000000"/>
          <w:sz w:val="28"/>
          <w:szCs w:val="28"/>
        </w:rPr>
        <w:t xml:space="preserve">公鏈（如以太坊）每秒處理的交易量有限，對於大規模食品供應鏈可能存在交易壅塞與高手續費問題，需考慮採用聯盟鏈或 Layer 2 解決方案。</w:t>
      </w:r>
    </w:p>
    <w:p>
      <w:pPr>
        <w:spacing w:after="0" w:before="0" w:line="500" w:lineRule="exact"/>
      </w:pPr>
    </w:p>
    <w:p>
      <w:pPr>
        <w:pStyle w:val="Heading1"/>
        <w:pBdr>
          <w:bottom w:val="single" w:color="1F3864" w:sz="8" w:space="1"/>
        </w:pBdr>
        <w:spacing w:after="120" w:before="240" w:line="500" w:lineRule="exact"/>
      </w:pPr>
      <w:r>
        <w:rPr>
          <w:rFonts w:ascii="標楷體" w:cs="標楷體" w:eastAsia="標楷體" w:hAnsi="標楷體"/>
          <w:b/>
          <w:bCs/>
          <w:color w:val="1F3864"/>
          <w:sz w:val="36"/>
          <w:szCs w:val="36"/>
        </w:rPr>
        <w:t xml:space="preserve">六、技術實作（Proof of Concept）</w:t>
      </w:r>
    </w:p>
    <w:p>
      <w:pPr>
        <w:pStyle w:val="Heading2"/>
        <w:spacing w:after="80" w:before="200" w:line="500" w:lineRule="exact"/>
      </w:pPr>
      <w:r>
        <w:rPr>
          <w:rFonts w:ascii="標楷體" w:cs="標楷體" w:eastAsia="標楷體" w:hAnsi="標楷體"/>
          <w:b/>
          <w:bCs/>
          <w:color w:val="2F5496"/>
          <w:sz w:val="30"/>
          <w:szCs w:val="30"/>
        </w:rPr>
        <w:t xml:space="preserve">6.1 系統設計概述</w:t>
      </w:r>
    </w:p>
    <w:p>
      <w:pPr>
        <w:spacing w:after="0" w:before="0" w:line="500" w:lineRule="exact"/>
        <w:jc w:val="left"/>
      </w:pPr>
      <w:r>
        <w:rPr>
          <w:rFonts w:ascii="標楷體" w:cs="標楷體" w:eastAsia="標楷體" w:hAnsi="標楷體" w:hint="eastAsia"/>
          <w:b w:val="false"/>
          <w:bCs w:val="false"/>
          <w:color w:val="000000"/>
          <w:sz w:val="28"/>
          <w:szCs w:val="28"/>
        </w:rPr>
        <w:t xml:space="preserve">本 PoC 系統以以太坊區塊鏈為基礎，使用 Remix IDE 進行開發，模擬食品供應鏈中從生產端到消費端的完整溯源流程。系統核心為一個以 Solidity 編寫的智能合約，實現食品批次的登記、各環節交接記錄上鏈與消費者查詢等功能。</w:t>
      </w:r>
    </w:p>
    <w:p>
      <w:pPr>
        <w:spacing w:after="0" w:before="0" w:line="500" w:lineRule="exac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c>
          <w:tcPr>
            <w:tcW w:type="dxa" w:w="36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項目</w:t>
            </w:r>
          </w:p>
        </w:tc>
        <w:tc>
          <w:tcPr>
            <w:tcW w:type="dxa" w:w="58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內容</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區塊鏈平台</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以太坊（Ethereum）</w:t>
            </w:r>
          </w:p>
        </w:tc>
      </w:tr>
      <w:tr>
        <w:tc>
          <w:tcPr>
            <w:tcW w:type="dxa" w:w="36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開發工具</w:t>
            </w:r>
          </w:p>
        </w:tc>
        <w:tc>
          <w:tcPr>
            <w:tcW w:type="dxa" w:w="5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Remix IDE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程式語言</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Solidity ^0.8.0</w:t>
            </w:r>
          </w:p>
        </w:tc>
      </w:tr>
      <w:tr>
        <w:tc>
          <w:tcPr>
            <w:tcW w:type="dxa" w:w="36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測試環境</w:t>
            </w:r>
          </w:p>
        </w:tc>
        <w:tc>
          <w:tcPr>
            <w:tcW w:type="dxa" w:w="5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JavaScript VM（Remix 內建）</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合約檔案</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contracts/FoodTraceability.sol</w:t>
            </w:r>
          </w:p>
        </w:tc>
      </w:tr>
    </w:tbl>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6.2 智能合約架構</w:t>
      </w:r>
    </w:p>
    <w:p>
      <w:pPr>
        <w:spacing w:after="0" w:before="0" w:line="500" w:lineRule="exact"/>
        <w:jc w:val="left"/>
      </w:pPr>
      <w:r>
        <w:rPr>
          <w:rFonts w:ascii="標楷體" w:cs="標楷體" w:eastAsia="標楷體" w:hAnsi="標楷體" w:hint="eastAsia"/>
          <w:b w:val="false"/>
          <w:bCs w:val="false"/>
          <w:color w:val="000000"/>
          <w:sz w:val="28"/>
          <w:szCs w:val="28"/>
        </w:rPr>
        <w:t xml:space="preserve">合約主要分為資料結構、角色管理、核心函式與事件四大部分：</w:t>
      </w:r>
    </w:p>
    <w:p>
      <w:pPr>
        <w:spacing w:after="0" w:before="0" w:line="500" w:lineRule="exac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c>
          <w:tcPr>
            <w:tcW w:type="dxa" w:w="22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模組</w:t>
            </w:r>
          </w:p>
        </w:tc>
        <w:tc>
          <w:tcPr>
            <w:tcW w:type="dxa" w:w="28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函式 / 結構</w:t>
            </w:r>
          </w:p>
        </w:tc>
        <w:tc>
          <w:tcPr>
            <w:tcW w:type="dxa" w:w="44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說明</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資料結構</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FoodBatch</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食品批次基本資料（批次號、產品名、產地等）</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資料結構</w:t>
            </w:r>
          </w:p>
        </w:tc>
        <w:tc>
          <w:tcPr>
            <w:tcW w:type="dxa" w:w="2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TraceRecord</w:t>
            </w:r>
          </w:p>
        </w:tc>
        <w:tc>
          <w:tcPr>
            <w:tcW w:type="dxa" w:w="4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單筆供應鏈追蹤記錄（操作者、地點、溫度、時間）</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角色管理</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assignRole()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管理員指派角色（Producer/Processor/Logistics/Retailer/Regulator）</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核心函式</w:t>
            </w:r>
          </w:p>
        </w:tc>
        <w:tc>
          <w:tcPr>
            <w:tcW w:type="dxa" w:w="2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registerBatch()</w:t>
            </w:r>
          </w:p>
        </w:tc>
        <w:tc>
          <w:tcPr>
            <w:tcW w:type="dxa" w:w="4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生產者登記食品批次，自動建立第一筆產地記錄</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核心函式</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addTraceRecord()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各參與者新增供應鏈環節記錄，超溫自動觸發警報</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核心函式</w:t>
            </w:r>
          </w:p>
        </w:tc>
        <w:tc>
          <w:tcPr>
            <w:tcW w:type="dxa" w:w="2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deactivateBatch()</w:t>
            </w:r>
          </w:p>
        </w:tc>
        <w:tc>
          <w:tcPr>
            <w:tcW w:type="dxa" w:w="4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監管機關停用問題批次（產品召回）</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核心函式</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getBatchHistory()</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任何人均可查詢指定批次的完整供應鏈履歷</w:t>
            </w:r>
          </w:p>
        </w:tc>
      </w:tr>
      <w:tr>
        <w:tc>
          <w:tcPr>
            <w:tcW w:type="dxa" w:w="2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事件</w:t>
            </w:r>
          </w:p>
        </w:tc>
        <w:tc>
          <w:tcPr>
            <w:tcW w:type="dxa" w:w="2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TemperatureAlert</w:t>
            </w:r>
          </w:p>
        </w:tc>
        <w:tc>
          <w:tcPr>
            <w:tcW w:type="dxa" w:w="4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冷鏈溫度超過 8.0°C 時自動觸發，紀錄責任方</w:t>
            </w:r>
          </w:p>
        </w:tc>
      </w:tr>
    </w:tbl>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6.3 操作流程說明</w:t>
      </w:r>
    </w:p>
    <w:p>
      <w:pPr>
        <w:spacing w:after="0" w:before="0" w:line="500" w:lineRule="exact"/>
        <w:jc w:val="left"/>
      </w:pPr>
      <w:r>
        <w:rPr>
          <w:rFonts w:ascii="標楷體" w:cs="標楷體" w:eastAsia="標楷體" w:hAnsi="標楷體"/>
          <w:b/>
          <w:bCs/>
          <w:color w:val="2F5496"/>
          <w:sz w:val="28"/>
          <w:szCs w:val="28"/>
        </w:rPr>
        <w:t xml:space="preserve">步驟一：部署合約</w:t>
      </w:r>
      <w:r>
        <w:rPr>
          <w:rFonts w:ascii="標楷體" w:cs="標楷體" w:eastAsia="標楷體" w:hAnsi="標楷體"/>
          <w:sz w:val="28"/>
          <w:szCs w:val="28"/>
        </w:rPr>
        <w:t xml:space="preserve">　在 Remix IDE 中選擇 Solidity 編譯器版本 0.8.x，編譯合約後部署至 JavaScript VM 測試環境。合約擁有者自動取得 Regulator 角色。</w:t>
      </w:r>
    </w:p>
    <w:p>
      <w:pPr>
        <w:spacing w:after="0" w:before="0" w:line="500" w:lineRule="exact"/>
      </w:pPr>
    </w:p>
    <w:p>
      <w:pPr>
        <w:spacing w:after="0" w:before="0" w:line="500" w:lineRule="exact"/>
        <w:jc w:val="left"/>
      </w:pPr>
      <w:r>
        <w:rPr>
          <w:rFonts w:ascii="標楷體" w:cs="標楷體" w:eastAsia="標楷體" w:hAnsi="標楷體"/>
          <w:b/>
          <w:bCs/>
          <w:color w:val="2F5496"/>
          <w:sz w:val="28"/>
          <w:szCs w:val="28"/>
        </w:rPr>
        <w:t xml:space="preserve">步驟二：角色指派</w:t>
      </w:r>
      <w:r>
        <w:rPr>
          <w:rFonts w:ascii="標楷體" w:cs="標楷體" w:eastAsia="標楷體" w:hAnsi="標楷體"/>
          <w:sz w:val="28"/>
          <w:szCs w:val="28"/>
        </w:rPr>
        <w:t xml:space="preserve">　由合約擁有者（owner）呼叫 assignRole()，分別指派不同帳號為生產者（1）、加工商（2）、物流商（3）與零售商（4）角色。</w:t>
      </w:r>
    </w:p>
    <w:p>
      <w:pPr>
        <w:spacing w:after="0" w:before="0" w:line="500" w:lineRule="exact"/>
      </w:pPr>
    </w:p>
    <w:p>
      <w:pPr>
        <w:spacing w:after="0" w:before="0" w:line="500" w:lineRule="exact"/>
        <w:jc w:val="left"/>
      </w:pPr>
      <w:r>
        <w:rPr>
          <w:rFonts w:ascii="標楷體" w:cs="標楷體" w:eastAsia="標楷體" w:hAnsi="標楷體"/>
          <w:b/>
          <w:bCs/>
          <w:color w:val="2F5496"/>
          <w:sz w:val="28"/>
          <w:szCs w:val="28"/>
        </w:rPr>
        <w:t xml:space="preserve">步驟三：登記食品批次</w:t>
      </w:r>
      <w:r>
        <w:rPr>
          <w:rFonts w:ascii="標楷體" w:cs="標楷體" w:eastAsia="標楷體" w:hAnsi="標楷體"/>
          <w:sz w:val="28"/>
          <w:szCs w:val="28"/>
        </w:rPr>
        <w:t xml:space="preserve">　切換至生產者帳號，呼叫 registerBatch()，輸入批次號（BATCH-2025-001）、產品名稱（有機高麗菜）、產地（宜蘭縣員山鄉）等資訊。系統自動建立第一筆產地記錄。</w:t>
      </w:r>
    </w:p>
    <w:p>
      <w:pPr>
        <w:spacing w:after="0" w:before="0" w:line="500" w:lineRule="exact"/>
      </w:pPr>
    </w:p>
    <w:p>
      <w:pPr>
        <w:spacing w:after="0" w:before="0" w:line="500" w:lineRule="exact"/>
        <w:jc w:val="left"/>
      </w:pPr>
      <w:r>
        <w:rPr>
          <w:rFonts w:ascii="標楷體" w:cs="標楷體" w:eastAsia="標楷體" w:hAnsi="標楷體"/>
          <w:b/>
          <w:bCs/>
          <w:color w:val="2F5496"/>
          <w:sz w:val="28"/>
          <w:szCs w:val="28"/>
        </w:rPr>
        <w:t xml:space="preserve">步驟四：各環節上鏈</w:t>
      </w:r>
      <w:r>
        <w:rPr>
          <w:rFonts w:ascii="標楷體" w:cs="標楷體" w:eastAsia="標楷體" w:hAnsi="標楷體"/>
          <w:sz w:val="28"/>
          <w:szCs w:val="28"/>
        </w:rPr>
        <w:t xml:space="preserve">　依序切換至加工商、物流商、零售商帳號，呼叫 addTraceRecord() 紀錄各自的操作資訊與溫度數據。若溫度超過 8.0°C 閾值，系統自動發出 TemperatureAlert 事件。</w:t>
      </w:r>
    </w:p>
    <w:p>
      <w:pPr>
        <w:spacing w:after="0" w:before="0" w:line="500" w:lineRule="exact"/>
      </w:pPr>
    </w:p>
    <w:p>
      <w:pPr>
        <w:spacing w:after="0" w:before="0" w:line="500" w:lineRule="exact"/>
        <w:jc w:val="left"/>
      </w:pPr>
      <w:r>
        <w:rPr>
          <w:rFonts w:ascii="標楷體" w:cs="標楷體" w:eastAsia="標楷體" w:hAnsi="標楷體"/>
          <w:b/>
          <w:bCs/>
          <w:color w:val="2F5496"/>
          <w:sz w:val="28"/>
          <w:szCs w:val="28"/>
        </w:rPr>
        <w:t xml:space="preserve">步驟五：消費者查詢</w:t>
      </w:r>
      <w:r>
        <w:rPr>
          <w:rFonts w:ascii="標楷體" w:cs="標楷體" w:eastAsia="標楷體" w:hAnsi="標楷體"/>
          <w:sz w:val="28"/>
          <w:szCs w:val="28"/>
        </w:rPr>
        <w:t xml:space="preserve">　任何帳號均可呼叫 getBatchHistory() 查詢指定批次的完整供應鏈記錄，實現食品來源全程透明可追溯。</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6.4 關鍵功能展示</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功能</w:t>
            </w:r>
          </w:p>
        </w:tc>
        <w:tc>
          <w:tcPr>
            <w:tcW w:type="dxa" w:w="32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呼叫函式</w:t>
            </w:r>
          </w:p>
        </w:tc>
        <w:tc>
          <w:tcPr>
            <w:tcW w:type="dxa" w:w="3800"/>
            <w:tcBorders>
              <w:top w:val="single" w:color="FFFFFF" w:sz="6"/>
              <w:left w:val="single" w:color="FFFFFF" w:sz="6"/>
              <w:bottom w:val="single" w:color="FFFFFF" w:sz="6"/>
              <w:right w:val="single" w:color="FFFFFF" w:sz="6"/>
            </w:tcBorders>
            <w:shd w:fill="2F5496" w:val="clear"/>
            <w:tcMar>
              <w:top w:type="dxa" w:w="80"/>
              <w:left w:type="dxa" w:w="120"/>
              <w:bottom w:type="dxa" w:w="80"/>
              <w:right w:type="dxa" w:w="120"/>
            </w:tcMar>
            <w:vAlign w:val="center"/>
          </w:tcPr>
          <w:p>
            <w:pPr>
              <w:spacing w:after="0" w:before="0" w:line="500" w:lineRule="exact"/>
              <w:jc w:val="center"/>
            </w:pPr>
            <w:r>
              <w:rPr>
                <w:rFonts w:ascii="標楷體" w:cs="標楷體" w:eastAsia="標楷體" w:hAnsi="標楷體"/>
                <w:b/>
                <w:bCs/>
                <w:color w:val="FFFFFF"/>
                <w:sz w:val="28"/>
                <w:szCs w:val="28"/>
              </w:rPr>
              <w:t xml:space="preserve">說明</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批次登記</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registerBatch()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生產者建立食品批次基本資料</w:t>
            </w:r>
          </w:p>
        </w:tc>
      </w:tr>
      <w:tr>
        <w:tc>
          <w:tcPr>
            <w:tcW w:type="dxa" w:w="2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環節上鏈</w:t>
            </w:r>
          </w:p>
        </w:tc>
        <w:tc>
          <w:tcPr>
            <w:tcW w:type="dxa" w:w="3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addTraceRecord()</w:t>
            </w:r>
          </w:p>
        </w:tc>
        <w:tc>
          <w:tcPr>
            <w:tcW w:type="dxa" w:w="3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各參與者記錄操作資訊與溫度</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溫度警報</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自動觸發 Event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超過 8°C 自動發出 TemperatureAlert</w:t>
            </w:r>
          </w:p>
        </w:tc>
      </w:tr>
      <w:tr>
        <w:tc>
          <w:tcPr>
            <w:tcW w:type="dxa" w:w="2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產品召回</w:t>
            </w:r>
          </w:p>
        </w:tc>
        <w:tc>
          <w:tcPr>
            <w:tcW w:type="dxa" w:w="3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deactivateBatch()</w:t>
            </w:r>
          </w:p>
        </w:tc>
        <w:tc>
          <w:tcPr>
            <w:tcW w:type="dxa" w:w="3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監管機關停用問題批次</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履歷查詢</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getBatchHistory()</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任何人均可查詢完整歷程</w:t>
            </w:r>
          </w:p>
        </w:tc>
      </w:tr>
      <w:tr>
        <w:tc>
          <w:tcPr>
            <w:tcW w:type="dxa" w:w="24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角色管理</w:t>
            </w:r>
          </w:p>
        </w:tc>
        <w:tc>
          <w:tcPr>
            <w:tcW w:type="dxa" w:w="32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assignRole()</w:t>
            </w:r>
          </w:p>
        </w:tc>
        <w:tc>
          <w:tcPr>
            <w:tcW w:type="dxa" w:w="3800"/>
            <w:tcBorders>
              <w:top w:val="single" w:color="CCCCCC" w:sz="4"/>
              <w:left w:val="single" w:color="CCCCCC" w:sz="4"/>
              <w:bottom w:val="single" w:color="CCCCCC" w:sz="4"/>
              <w:right w:val="single" w:color="CCCCCC" w:sz="4"/>
            </w:tcBorders>
            <w:shd w:fill="EEF2F8" w:val="clear"/>
            <w:tcMar>
              <w:top w:type="dxa" w:w="80"/>
              <w:left w:type="dxa" w:w="120"/>
              <w:bottom w:type="dxa" w:w="80"/>
              <w:right w:type="dxa" w:w="120"/>
            </w:tcMar>
            <w:vAlign w:val="center"/>
          </w:tcPr>
          <w:p>
            <w:pPr>
              <w:spacing w:after="0" w:before="0" w:line="500" w:lineRule="exact"/>
              <w:jc w:val="left"/>
            </w:pPr>
            <w:r>
              <w:rPr>
                <w:rFonts w:ascii="標楷體" w:cs="標楷體" w:eastAsia="標楷體" w:hAnsi="標楷體"/>
                <w:color w:val="000000"/>
                <w:sz w:val="28"/>
                <w:szCs w:val="28"/>
              </w:rPr>
              <w:t xml:space="preserve">管理員管理參與者權限</w:t>
            </w:r>
          </w:p>
        </w:tc>
      </w:tr>
    </w:tbl>
    <w:p>
      <w:pPr>
        <w:spacing w:after="0" w:before="0" w:line="500" w:lineRule="exact"/>
      </w:pPr>
    </w:p>
    <w:p>
      <w:pPr>
        <w:pStyle w:val="Heading1"/>
        <w:pBdr>
          <w:bottom w:val="single" w:color="1F3864" w:sz="8" w:space="1"/>
        </w:pBdr>
        <w:spacing w:after="120" w:before="240" w:line="500" w:lineRule="exact"/>
      </w:pPr>
      <w:r>
        <w:rPr>
          <w:rFonts w:ascii="標楷體" w:cs="標楷體" w:eastAsia="標楷體" w:hAnsi="標楷體"/>
          <w:b/>
          <w:bCs/>
          <w:color w:val="1F3864"/>
          <w:sz w:val="36"/>
          <w:szCs w:val="36"/>
        </w:rPr>
        <w:t xml:space="preserve">七、結論</w:t>
      </w:r>
    </w:p>
    <w:p>
      <w:pPr>
        <w:pStyle w:val="Heading2"/>
        <w:spacing w:after="80" w:before="200" w:line="500" w:lineRule="exact"/>
      </w:pPr>
      <w:r>
        <w:rPr>
          <w:rFonts w:ascii="標楷體" w:cs="標楷體" w:eastAsia="標楷體" w:hAnsi="標楷體"/>
          <w:b/>
          <w:bCs/>
          <w:color w:val="2F5496"/>
          <w:sz w:val="30"/>
          <w:szCs w:val="30"/>
        </w:rPr>
        <w:t xml:space="preserve">7.1 研究總結</w:t>
      </w:r>
    </w:p>
    <w:p>
      <w:pPr>
        <w:spacing w:after="0" w:before="0" w:line="500" w:lineRule="exact"/>
        <w:jc w:val="left"/>
      </w:pPr>
      <w:r>
        <w:rPr>
          <w:rFonts w:ascii="標楷體" w:cs="標楷體" w:eastAsia="標楷體" w:hAnsi="標楷體" w:hint="eastAsia"/>
          <w:b w:val="false"/>
          <w:bCs w:val="false"/>
          <w:color w:val="000000"/>
          <w:sz w:val="28"/>
          <w:szCs w:val="28"/>
        </w:rPr>
        <w:t xml:space="preserve">本研究透過文獻探討與技術實作，驗證了區塊鏈技術應用於食品供應鏈的可行性與潛在價值。區塊鏈的不可竄改性與透明可追溯特性，能有效解決食品供應鏈中長期存在的資訊不透明、產地造假與食安事件應對遲緩等問題；智能合約的自動化能力則能提升各環節的業務效率，降低人工成本與信任摩擦。</w:t>
      </w:r>
    </w:p>
    <w:p>
      <w:pPr>
        <w:spacing w:after="0" w:before="0" w:line="500" w:lineRule="exact"/>
      </w:pPr>
    </w:p>
    <w:p>
      <w:pPr>
        <w:spacing w:after="0" w:before="0" w:line="500" w:lineRule="exact"/>
        <w:jc w:val="left"/>
      </w:pPr>
      <w:r>
        <w:rPr>
          <w:rFonts w:ascii="標楷體" w:cs="標楷體" w:eastAsia="標楷體" w:hAnsi="標楷體" w:hint="eastAsia"/>
          <w:b w:val="false"/>
          <w:bCs w:val="false"/>
          <w:color w:val="000000"/>
          <w:sz w:val="28"/>
          <w:szCs w:val="28"/>
        </w:rPr>
        <w:t xml:space="preserve">然而，技術本身並非萬能，鏈上鏈下的資料一致性問題、導入成本以及各方協作意願，仍是實際推廣時需要克服的核心挑戰。</w:t>
      </w:r>
    </w:p>
    <w:p>
      <w:pPr>
        <w:spacing w:after="0" w:before="0" w:line="500" w:lineRule="exact"/>
      </w:pPr>
    </w:p>
    <w:p>
      <w:pPr>
        <w:pStyle w:val="Heading2"/>
        <w:spacing w:after="80" w:before="200" w:line="500" w:lineRule="exact"/>
      </w:pPr>
      <w:r>
        <w:rPr>
          <w:rFonts w:ascii="標楷體" w:cs="標楷體" w:eastAsia="標楷體" w:hAnsi="標楷體"/>
          <w:b/>
          <w:bCs/>
          <w:color w:val="2F5496"/>
          <w:sz w:val="30"/>
          <w:szCs w:val="30"/>
        </w:rPr>
        <w:t xml:space="preserve">7.2 未來展望</w:t>
      </w:r>
    </w:p>
    <w:p>
      <w:pPr>
        <w:spacing w:after="0" w:before="0" w:line="500" w:lineRule="exact"/>
        <w:jc w:val="left"/>
      </w:pPr>
      <w:r>
        <w:rPr>
          <w:rFonts w:ascii="標楷體" w:cs="標楷體" w:eastAsia="標楷體" w:hAnsi="標楷體" w:hint="eastAsia"/>
          <w:b w:val="false"/>
          <w:bCs w:val="false"/>
          <w:color w:val="000000"/>
          <w:sz w:val="28"/>
          <w:szCs w:val="28"/>
        </w:rPr>
        <w:t xml:space="preserve">1. 結合 IoT 裝置：整合 RFID 與溫度感測器，實現自動化的鏈下資料採集，降低人為輸入錯誤的風險。</w:t>
      </w:r>
    </w:p>
    <w:p>
      <w:pPr>
        <w:spacing w:after="0" w:before="0" w:line="500" w:lineRule="exact"/>
      </w:pPr>
    </w:p>
    <w:p>
      <w:pPr>
        <w:spacing w:after="0" w:before="0" w:line="500" w:lineRule="exact"/>
        <w:jc w:val="left"/>
      </w:pPr>
      <w:r>
        <w:rPr>
          <w:rFonts w:ascii="標楷體" w:cs="標楷體" w:eastAsia="標楷體" w:hAnsi="標楷體" w:hint="eastAsia"/>
          <w:b w:val="false"/>
          <w:bCs w:val="false"/>
          <w:color w:val="000000"/>
          <w:sz w:val="28"/>
          <w:szCs w:val="28"/>
        </w:rPr>
        <w:t xml:space="preserve">2. 採用聯盟鏈架構：以 Hyperledger Fabric 取代公鏈，在保留區塊鏈核心優勢的同時，兼顧效能、隱私與商業機密保護。</w:t>
      </w:r>
    </w:p>
    <w:p>
      <w:pPr>
        <w:spacing w:after="0" w:before="0" w:line="500" w:lineRule="exact"/>
      </w:pPr>
    </w:p>
    <w:p>
      <w:pPr>
        <w:spacing w:after="0" w:before="0" w:line="500" w:lineRule="exact"/>
        <w:jc w:val="left"/>
      </w:pPr>
      <w:r>
        <w:rPr>
          <w:rFonts w:ascii="標楷體" w:cs="標楷體" w:eastAsia="標楷體" w:hAnsi="標楷體" w:hint="eastAsia"/>
          <w:b w:val="false"/>
          <w:bCs w:val="false"/>
          <w:color w:val="000000"/>
          <w:sz w:val="28"/>
          <w:szCs w:val="28"/>
        </w:rPr>
        <w:t xml:space="preserve">3. 建立產業聯盟標準：推動食品供應鏈各方採用統一的資料格式與上鏈標準，擴大生態系規模。</w:t>
      </w:r>
    </w:p>
    <w:p>
      <w:pPr>
        <w:spacing w:after="0" w:before="0" w:line="500" w:lineRule="exact"/>
      </w:pPr>
    </w:p>
    <w:p>
      <w:pPr>
        <w:spacing w:after="0" w:before="0" w:line="500" w:lineRule="exact"/>
        <w:jc w:val="left"/>
      </w:pPr>
      <w:r>
        <w:rPr>
          <w:rFonts w:ascii="標楷體" w:cs="標楷體" w:eastAsia="標楷體" w:hAnsi="標楷體" w:hint="eastAsia"/>
          <w:b w:val="false"/>
          <w:bCs w:val="false"/>
          <w:color w:val="000000"/>
          <w:sz w:val="28"/>
          <w:szCs w:val="28"/>
        </w:rPr>
        <w:t xml:space="preserve">4. 消費者端 App 開發：開發友善的消費者介面，讓查詢食品履歷成為日常購物的標準流程。</w:t>
      </w:r>
    </w:p>
    <w:p>
      <w:pPr>
        <w:spacing w:after="0" w:before="0" w:line="500" w:lineRule="exact"/>
      </w:pPr>
    </w:p>
    <w:p>
      <w:pPr>
        <w:pStyle w:val="Heading1"/>
        <w:pBdr>
          <w:bottom w:val="single" w:color="1F3864" w:sz="8" w:space="1"/>
        </w:pBdr>
        <w:spacing w:after="120" w:before="240" w:line="500" w:lineRule="exact"/>
      </w:pPr>
      <w:r>
        <w:rPr>
          <w:rFonts w:ascii="標楷體" w:cs="標楷體" w:eastAsia="標楷體" w:hAnsi="標楷體"/>
          <w:b/>
          <w:bCs/>
          <w:color w:val="1F3864"/>
          <w:sz w:val="36"/>
          <w:szCs w:val="36"/>
        </w:rPr>
        <w:t xml:space="preserve">八、參考資料</w:t>
      </w:r>
    </w:p>
    <w:p>
      <w:pPr>
        <w:spacing w:after="0" w:before="0" w:line="500" w:lineRule="exact"/>
        <w:ind w:left="360" w:hanging="360"/>
      </w:pPr>
      <w:r>
        <w:rPr>
          <w:rFonts w:ascii="標楷體" w:cs="標楷體" w:eastAsia="標楷體" w:hAnsi="標楷體"/>
          <w:sz w:val="28"/>
          <w:szCs w:val="28"/>
        </w:rPr>
        <w:t xml:space="preserve">1. Nakamoto, S. (2008). Bitcoin: A Peer-to-Peer Electronic Cash System.</w:t>
      </w:r>
    </w:p>
    <w:p>
      <w:pPr>
        <w:spacing w:after="0" w:before="0" w:line="500" w:lineRule="exact"/>
      </w:pPr>
    </w:p>
    <w:p>
      <w:pPr>
        <w:spacing w:after="0" w:before="0" w:line="500" w:lineRule="exact"/>
        <w:ind w:left="360" w:hanging="360"/>
      </w:pPr>
      <w:r>
        <w:rPr>
          <w:rFonts w:ascii="標楷體" w:cs="標楷體" w:eastAsia="標楷體" w:hAnsi="標楷體"/>
          <w:sz w:val="28"/>
          <w:szCs w:val="28"/>
        </w:rPr>
        <w:t xml:space="preserve">2. Buterin, V. (2014). Ethereum: A Next-Generation Smart Contract and Decentralized Application Platform.</w:t>
      </w:r>
    </w:p>
    <w:p>
      <w:pPr>
        <w:spacing w:after="0" w:before="0" w:line="500" w:lineRule="exact"/>
      </w:pPr>
    </w:p>
    <w:p>
      <w:pPr>
        <w:spacing w:after="0" w:before="0" w:line="500" w:lineRule="exact"/>
        <w:ind w:left="360" w:hanging="360"/>
      </w:pPr>
      <w:r>
        <w:rPr>
          <w:rFonts w:ascii="標楷體" w:cs="標楷體" w:eastAsia="標楷體" w:hAnsi="標楷體"/>
          <w:sz w:val="28"/>
          <w:szCs w:val="28"/>
        </w:rPr>
        <w:t xml:space="preserve">3. Walmart &amp; IBM (2018). Food Trust: Blockchain for Food Safety. IBM Food Trust Documentation.</w:t>
      </w:r>
    </w:p>
    <w:p>
      <w:pPr>
        <w:spacing w:after="0" w:before="0" w:line="500" w:lineRule="exact"/>
      </w:pPr>
    </w:p>
    <w:p>
      <w:pPr>
        <w:spacing w:after="0" w:before="0" w:line="500" w:lineRule="exact"/>
        <w:ind w:left="360" w:hanging="360"/>
      </w:pPr>
      <w:r>
        <w:rPr>
          <w:rFonts w:ascii="標楷體" w:cs="標楷體" w:eastAsia="標楷體" w:hAnsi="標楷體"/>
          <w:sz w:val="28"/>
          <w:szCs w:val="28"/>
        </w:rPr>
        <w:t xml:space="preserve">4. 食品藥物管理署（2023）。食品追溯追蹤管理系統。衛生福利部。</w:t>
      </w:r>
    </w:p>
    <w:p>
      <w:pPr>
        <w:spacing w:after="0" w:before="0" w:line="500" w:lineRule="exact"/>
      </w:pPr>
    </w:p>
    <w:p>
      <w:pPr>
        <w:spacing w:after="0" w:before="0" w:line="500" w:lineRule="exact"/>
        <w:ind w:left="360" w:hanging="360"/>
      </w:pPr>
      <w:r>
        <w:rPr>
          <w:rFonts w:ascii="標楷體" w:cs="標楷體" w:eastAsia="標楷體" w:hAnsi="標楷體"/>
          <w:sz w:val="28"/>
          <w:szCs w:val="28"/>
        </w:rPr>
        <w:t xml:space="preserve">5. Tian, F. (2016). An Agri-food Supply Chain Traceability System for China Based on RFID &amp; Blockchain Technology. 13th International Conference on Service Systems and Service Management.</w:t>
      </w:r>
    </w:p>
    <w:p>
      <w:pPr>
        <w:spacing w:after="0" w:before="0" w:line="500" w:lineRule="exact"/>
      </w:pPr>
    </w:p>
    <w:p>
      <w:pPr>
        <w:spacing w:after="0" w:before="0" w:line="500" w:lineRule="exact"/>
        <w:ind w:left="360" w:hanging="360"/>
      </w:pPr>
      <w:r>
        <w:rPr>
          <w:rFonts w:ascii="標楷體" w:cs="標楷體" w:eastAsia="標楷體" w:hAnsi="標楷體"/>
          <w:sz w:val="28"/>
          <w:szCs w:val="28"/>
        </w:rPr>
        <w:t xml:space="preserve">6. Zhao, G., et al. (2019). Blockchain Technology in Agri-Food Value Chain Management. Computers in Industry, 109, 83–99.</w:t>
      </w:r>
    </w:p>
    <w:p>
      <w:pPr>
        <w:spacing w:after="0" w:before="0" w:line="500" w:lineRule="exact"/>
      </w:pPr>
    </w:p>
    <w:p>
      <w:pPr>
        <w:spacing w:after="0" w:before="0" w:line="500" w:lineRule="exact"/>
        <w:ind w:left="360" w:hanging="360"/>
      </w:pPr>
      <w:r>
        <w:rPr>
          <w:rFonts w:ascii="標楷體" w:cs="標楷體" w:eastAsia="標楷體" w:hAnsi="標楷體"/>
          <w:sz w:val="28"/>
          <w:szCs w:val="28"/>
        </w:rPr>
        <w:t xml:space="preserve">7. Solidity Documentation. (2024). https://docs.soliditylang.org/</w:t>
      </w:r>
    </w:p>
    <w:p>
      <w:pPr>
        <w:spacing w:after="0" w:before="0" w:line="500" w:lineRule="exact"/>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500" w:lineRule="exact"/>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標楷體" w:cs="標楷體" w:eastAsia="標楷體" w:hAnsi="標楷體"/>
      <w:b/>
      <w:bCs/>
      <w:color w:val="1F3864"/>
      <w:sz w:val="36"/>
      <w:szCs w:val="36"/>
    </w:rPr>
  </w:style>
  <w:style w:type="paragraph" w:styleId="Heading2">
    <w:name w:val="Heading 2"/>
    <w:basedOn w:val="Normal"/>
    <w:next w:val="Normal"/>
    <w:qFormat/>
    <w:pPr>
      <w:spacing w:after="80" w:before="200"/>
      <w:outlineLvl w:val="1"/>
    </w:pPr>
    <w:rPr>
      <w:rFonts w:ascii="標楷體" w:cs="標楷體" w:eastAsia="標楷體" w:hAnsi="標楷體"/>
      <w:b/>
      <w:bCs/>
      <w:color w:val="2F549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2026-05-23T12:47:57.332Z</dcterms:created>
  <dcterms:modified xsi:type="dcterms:W3CDTF">2026-05-23T12:47:57.333Z</dcterms:modified>
</cp:coreProperties>
</file>

<file path=docProps/custom.xml><?xml version="1.0" encoding="utf-8"?>
<Properties xmlns="http://schemas.openxmlformats.org/officeDocument/2006/custom-properties" xmlns:vt="http://schemas.openxmlformats.org/officeDocument/2006/docPropsVTypes"/>
</file>