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Technogence</w:t>
      </w:r>
    </w:p>
    <w:p>
      <w:pPr>
        <w:spacing w:after="60"/>
      </w:pPr>
      <w:r>
        <w:rPr>
          <w:color w:val="444455"/>
          <w:sz w:val="24"/>
          <w:szCs w:val="24"/>
        </w:rPr>
        <w:t xml:space="preserve">Software services · India</w:t>
      </w:r>
    </w:p>
    <w:p>
      <w:pPr>
        <w:pBdr>
          <w:bottom w:val="single" w:color="999999" w:sz="6" w:space="6"/>
        </w:pBdr>
        <w:spacing w:after="300"/>
      </w:pPr>
    </w:p>
    <w:p>
      <w:pPr>
        <w:pBdr>
          <w:bottom w:val="single" w:color="999999" w:sz="6" w:space="6"/>
        </w:pBdr>
        <w:spacing w:after="320"/>
      </w:pPr>
      <w:r>
        <w:rPr>
          <w:i/>
          <w:iCs/>
          <w:color w:val="8A1C1C"/>
          <w:sz w:val="20"/>
          <w:szCs w:val="20"/>
        </w:rPr>
        <w:t xml:space="preserve">DRAFT FOR APPROVAL — NOT YET VERIFIED. Every highlighted field must be completed and confirmed by Technogence. This document must not be published, submitted to any third party, or used as evidence until Technogence has approved it in writing using the sign-off block on the last page.</w:t>
      </w:r>
    </w:p>
    <w:p>
      <w:pPr>
        <w:pStyle w:val="Heading1"/>
        <w:spacing w:after="160" w:before="34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services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India</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Training programme enrolment analysis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Excel enrolment records — </w:t>
            </w:r>
            <w:r>
              <w:rPr>
                <w:b w:val="false"/>
                <w:bCs w:val="false"/>
                <w:sz w:val="20"/>
                <w:szCs w:val="20"/>
                <w:highlight w:val="yellow"/>
                <w:highlightCs w:val="yellow"/>
              </w:rPr>
              <w:t xml:space="preserve">[DESCRIBE, e.g. one sheet per cohort]</w:t>
            </w:r>
          </w:p>
        </w:tc>
      </w:tr>
    </w:tbl>
    <w:p>
      <w:pPr>
        <w:pStyle w:val="Heading1"/>
        <w:spacing w:after="160" w:before="340"/>
      </w:pPr>
      <w:r>
        <w:t xml:space="preserve">The situation before</w:t>
      </w:r>
    </w:p>
    <w:p>
      <w:pPr>
        <w:spacing w:after="160" w:line="276"/>
      </w:pPr>
      <w:r>
        <w:t xml:space="preserve">Technogence runs </w:t>
      </w:r>
      <w:r>
        <w:rPr>
          <w:b/>
          <w:bCs/>
          <w:highlight w:val="yellow"/>
          <w:highlightCs w:val="yellow"/>
        </w:rPr>
        <w:t xml:space="preserve">[DESCRIBE — e.g. technical training programmes for graduates and corporate clients]</w:t>
      </w:r>
      <w:r>
        <w:t xml:space="preserve">. Enrolment records were kept in Excel, </w:t>
      </w:r>
      <w:r>
        <w:rPr>
          <w:b/>
          <w:bCs/>
          <w:highlight w:val="yellow"/>
          <w:highlightCs w:val="yellow"/>
        </w:rPr>
        <w:t xml:space="preserve">[DESCRIBE THE STRUCTURE — e.g. one sheet per programme intake, maintained by the programme coordinators]</w:t>
      </w:r>
      <w:r>
        <w:t xml:space="preserve">.</w:t>
      </w:r>
    </w:p>
    <w:p>
      <w:pPr>
        <w:spacing w:after="160" w:line="276"/>
      </w:pPr>
      <w:r>
        <w:t xml:space="preserve">Understanding how enrolment was tracking across programmes meant </w:t>
      </w:r>
      <w:r>
        <w:rPr>
          <w:b/>
          <w:bCs/>
          <w:highlight w:val="yellow"/>
          <w:highlightCs w:val="yellow"/>
        </w:rPr>
        <w:t xml:space="preserve">[DESCRIBE THE MANUAL PROCESS — e.g. opening each sheet in turn and counting rows by hand]</w:t>
      </w:r>
      <w:r>
        <w:t xml:space="preserve">, which took </w:t>
      </w:r>
      <w:r>
        <w:rPr>
          <w:b/>
          <w:bCs/>
          <w:highlight w:val="yellow"/>
          <w:highlightCs w:val="yellow"/>
        </w:rPr>
        <w:t xml:space="preserve">[N]</w:t>
      </w:r>
      <w:r>
        <w:t xml:space="preserve"> hours per </w:t>
      </w:r>
      <w:r>
        <w:rPr>
          <w:b/>
          <w:bCs/>
          <w:highlight w:val="yellow"/>
          <w:highlightCs w:val="yellow"/>
        </w:rPr>
        <w:t xml:space="preserve">[WEEK / MONTH]</w:t>
      </w:r>
      <w:r>
        <w:t xml:space="preserve"> and was usually out of date by the time it was circulated.</w:t>
      </w:r>
    </w:p>
    <w:p>
      <w:pPr>
        <w:spacing w:after="160" w:line="276"/>
      </w:pPr>
      <w:r>
        <w:t xml:space="preserve">The specific difficulties were:</w:t>
      </w:r>
    </w:p>
    <w:p>
      <w:pPr>
        <w:pStyle w:val="ListParagraph"/>
        <w:numPr>
          <w:ilvl w:val="0"/>
          <w:numId w:val="2"/>
        </w:numPr>
        <w:spacing w:after="110" w:line="276"/>
      </w:pPr>
      <w:r>
        <w:rPr>
          <w:b/>
          <w:bCs/>
          <w:highlight w:val="yellow"/>
          <w:highlightCs w:val="yellow"/>
        </w:rPr>
        <w:t xml:space="preserve">[DIFFICULTY 1 — e.g. each coordinator structured their sheet slightly differently, so the columns did not line up]</w:t>
      </w:r>
    </w:p>
    <w:p>
      <w:pPr>
        <w:pStyle w:val="ListParagraph"/>
        <w:numPr>
          <w:ilvl w:val="0"/>
          <w:numId w:val="2"/>
        </w:numPr>
        <w:spacing w:after="110" w:line="276"/>
      </w:pPr>
      <w:r>
        <w:rPr>
          <w:b/>
          <w:bCs/>
          <w:highlight w:val="yellow"/>
          <w:highlightCs w:val="yellow"/>
        </w:rPr>
        <w:t xml:space="preserve">[DIFFICULTY 2 — e.g. enrolment status was recorded as free text, so counting completions meant reading every row]</w:t>
      </w:r>
    </w:p>
    <w:p>
      <w:pPr>
        <w:pStyle w:val="ListParagraph"/>
        <w:numPr>
          <w:ilvl w:val="0"/>
          <w:numId w:val="2"/>
        </w:numPr>
        <w:spacing w:after="110" w:line="276"/>
      </w:pPr>
      <w:r>
        <w:rPr>
          <w:b/>
          <w:bCs/>
          <w:highlight w:val="yellow"/>
          <w:highlightCs w:val="yellow"/>
        </w:rPr>
        <w:t xml:space="preserve">[DIFFICULTY 3 — e.g. there was no view of drop-off between enrolment and completion across programmes]</w:t>
      </w:r>
    </w:p>
    <w:p>
      <w:pPr>
        <w:pStyle w:val="Heading1"/>
        <w:spacing w:after="160" w:before="340"/>
      </w:pPr>
      <w:r>
        <w:t xml:space="preserve">Why the data could not go to a cloud BI tool</w:t>
      </w:r>
    </w:p>
    <w:p>
      <w:pPr>
        <w:spacing w:after="160" w:line="276"/>
      </w:pPr>
      <w:r>
        <w:t xml:space="preserve">Enrolment records contain trainee names, email addresses and telephone numbers. Uploading them to a third-party analytics service would have meant sharing the personal data of individuals who had enrolled on a training programme, which </w:t>
      </w:r>
      <w:r>
        <w:rPr>
          <w:b/>
          <w:bCs/>
          <w:highlight w:val="yellow"/>
          <w:highlightCs w:val="yellow"/>
        </w:rPr>
        <w:t xml:space="preserve">[DESCRIBE TECHNOGENCE’S POSITION — e.g. was not something Technogence was prepared to do, and would have required consent it had not obtained]</w:t>
      </w:r>
      <w:r>
        <w:t xml:space="preserve">.</w:t>
      </w:r>
    </w:p>
    <w:p>
      <w:pPr>
        <w:spacing w:after="160" w:line="276"/>
      </w:pPr>
      <w:r>
        <w:t xml:space="preserve">QuickInsight takes a different approach. It loads the spreadsheet into an analytical database that runs inside the web browser on the user’s own computer. Cleaning, profiling, query execution and charting all happen on that machine. The file is never uploaded to a server.</w:t>
      </w:r>
    </w:p>
    <w:p>
      <w:pPr>
        <w:spacing w:after="160" w:line="276"/>
      </w:pPr>
      <w:r>
        <w:t xml:space="preserve">Where the AI features are used to interpret a typed question, only the structure of the data is sent — table names, column names and data types. No data values are sent unless the user explicitly turns that on, and even then the tool automatically excludes anything that looks like a name, an identifier, contact details or a sensitive category, and lets the user switch off any remaining column or individual value before it goes.</w:t>
      </w:r>
    </w:p>
    <w:p>
      <w:pPr>
        <w:pStyle w:val="Heading1"/>
        <w:spacing w:after="160" w:before="340"/>
      </w:pPr>
      <w:r>
        <w:t xml:space="preserve">What Technogence does with QuickInsight</w:t>
      </w:r>
    </w:p>
    <w:p>
      <w:pPr>
        <w:spacing w:after="160" w:line="276"/>
      </w:pPr>
      <w:r>
        <w:t xml:space="preserve">A coordinator loads the enrolment spreadsheet into the browser. QuickInsight cleans it automatically — standardising the status values, detecting the date columns, and identifying the name, email and telephone columns as personal data so they are excluded from anything sent to the AI features.</w:t>
      </w:r>
    </w:p>
    <w:p>
      <w:pPr>
        <w:spacing w:after="160" w:line="276"/>
      </w:pPr>
      <w:r>
        <w:t xml:space="preserve">Typical questions include:</w:t>
      </w:r>
    </w:p>
    <w:p>
      <w:pPr>
        <w:pStyle w:val="ListParagraph"/>
        <w:numPr>
          <w:ilvl w:val="0"/>
          <w:numId w:val="2"/>
        </w:numPr>
        <w:spacing w:after="110" w:line="276"/>
      </w:pPr>
      <w:r>
        <w:rPr>
          <w:b/>
          <w:bCs/>
          <w:highlight w:val="yellow"/>
          <w:highlightCs w:val="yellow"/>
        </w:rPr>
        <w:t xml:space="preserve">[QUESTION 1 — e.g. enrolments by programme, this intake]</w:t>
      </w:r>
    </w:p>
    <w:p>
      <w:pPr>
        <w:pStyle w:val="ListParagraph"/>
        <w:numPr>
          <w:ilvl w:val="0"/>
          <w:numId w:val="2"/>
        </w:numPr>
        <w:spacing w:after="110" w:line="276"/>
      </w:pPr>
      <w:r>
        <w:rPr>
          <w:b/>
          <w:bCs/>
          <w:highlight w:val="yellow"/>
          <w:highlightCs w:val="yellow"/>
        </w:rPr>
        <w:t xml:space="preserve">[QUESTION 2 — e.g. completion rate by cohort, lowest first]</w:t>
      </w:r>
    </w:p>
    <w:p>
      <w:pPr>
        <w:pStyle w:val="ListParagraph"/>
        <w:numPr>
          <w:ilvl w:val="0"/>
          <w:numId w:val="2"/>
        </w:numPr>
        <w:spacing w:after="110" w:line="276"/>
      </w:pPr>
      <w:r>
        <w:rPr>
          <w:b/>
          <w:bCs/>
          <w:highlight w:val="yellow"/>
          <w:highlightCs w:val="yellow"/>
        </w:rPr>
        <w:t xml:space="preserve">[QUESTION 3 — e.g. enrolment numbers month by month, compared with the same period last year]</w:t>
      </w:r>
    </w:p>
    <w:p>
      <w:pPr>
        <w:pStyle w:val="ListParagraph"/>
        <w:numPr>
          <w:ilvl w:val="0"/>
          <w:numId w:val="2"/>
        </w:numPr>
        <w:spacing w:after="110" w:line="276"/>
      </w:pPr>
      <w:r>
        <w:rPr>
          <w:b/>
          <w:bCs/>
          <w:highlight w:val="yellow"/>
          <w:highlightCs w:val="yellow"/>
        </w:rPr>
        <w:t xml:space="preserve">[QUESTION 4 — e.g. drop-off between enrolment and completion by trainer]</w:t>
      </w:r>
    </w:p>
    <w:p>
      <w:pPr>
        <w:spacing w:after="160" w:line="276"/>
      </w:pPr>
      <w:r>
        <w:t xml:space="preserve">The results are saved to a dashboard shared with </w:t>
      </w:r>
      <w:r>
        <w:rPr>
          <w:b/>
          <w:bCs/>
          <w:highlight w:val="yellow"/>
          <w:highlightCs w:val="yellow"/>
        </w:rPr>
        <w:t xml:space="preserve">[WHO]</w:t>
      </w:r>
      <w:r>
        <w:t xml:space="preserve"> </w:t>
      </w:r>
      <w:r>
        <w:rPr>
          <w:b/>
          <w:bCs/>
          <w:highlight w:val="yellow"/>
          <w:highlightCs w:val="yellow"/>
        </w:rPr>
        <w:t xml:space="preserve">[HOW OFTEN]</w:t>
      </w:r>
      <w:r>
        <w:t xml:space="preserve">.</w:t>
      </w:r>
    </w:p>
    <w:p>
      <w:pPr>
        <w:pStyle w:val="Heading1"/>
        <w:spacing w:after="160" w:before="340"/>
      </w:pPr>
      <w:r>
        <w:t xml:space="preserve">Results</w:t>
      </w:r>
    </w:p>
    <w:p>
      <w:pPr>
        <w:spacing w:after="160" w:line="276"/>
      </w:pPr>
      <w:r>
        <w:rPr>
          <w:b/>
          <w:bCs/>
          <w:highlight w:val="yellow"/>
          <w:highlightCs w:val="yellow"/>
        </w:rPr>
        <w:t xml:space="preserve">[Technogence to complete. Use only figures Technogence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produce the enrolment summary</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hours</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How current the figures are when circulated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a week old]</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same day]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60" w:line="276"/>
      </w:pPr>
      <w:r>
        <w:rPr>
          <w:b/>
          <w:bCs/>
          <w:highlight w:val="yellow"/>
          <w:highlightCs w:val="yellow"/>
        </w:rPr>
        <w:t xml:space="preserve">[ADD ANY OUTCOME THAT IS NOT A TIME SAVING — e.g. a programme with unexpectedly high drop-off that was identified and changed as a result.]</w:t>
      </w:r>
    </w:p>
    <w:p>
      <w:pPr>
        <w:pStyle w:val="Heading1"/>
        <w:spacing w:after="160" w:before="340"/>
      </w:pPr>
      <w:r>
        <w:t xml:space="preserve">In their words</w:t>
      </w:r>
    </w:p>
    <w:p>
      <w:pPr>
        <w:spacing w:after="140"/>
        <w:ind w:left="480"/>
      </w:pPr>
      <w:r>
        <w:rPr>
          <w:i/>
          <w:iCs/>
          <w:sz w:val="24"/>
          <w:szCs w:val="24"/>
        </w:rPr>
        <w:t xml:space="preserve">"[QUOTE — in the customer’s own words.]"</w:t>
      </w:r>
    </w:p>
    <w:p>
      <w:pPr>
        <w:spacing w:after="160" w:line="276"/>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Technogence</w:t>
      </w:r>
    </w:p>
    <w:p>
      <w:r>
        <w:br w:type="page"/>
      </w:r>
    </w:p>
    <w:p>
      <w:pPr>
        <w:pStyle w:val="Heading1"/>
        <w:spacing w:after="160" w:before="340"/>
      </w:pPr>
      <w:r>
        <w:t xml:space="preserve">Approval</w:t>
      </w:r>
    </w:p>
    <w:p>
      <w:pPr>
        <w:spacing w:after="160" w:line="276"/>
      </w:pPr>
      <w:r>
        <w:t xml:space="preserve">I confirm that the statements and figures in this case study are accurate, and I authorise Technogence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Technogence</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 An empty results table with three real rows beats six rows where three are guesses.</w:t>
      </w:r>
    </w:p>
    <w:p>
      <w:pPr>
        <w:pStyle w:val="ListParagraph"/>
        <w:numPr>
          <w:ilvl w:val="0"/>
          <w:numId w:val="2"/>
        </w:numPr>
        <w:spacing w:after="110" w:line="276"/>
      </w:pPr>
      <w:r>
        <w:t xml:space="preserve">Send as PDF once the placeholders are filled. Ask for a signed scan back.</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Keep the signed original. It is a stronger evidence document than anything you write about yourself.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2026-08-02T19:15:11.505Z</dcterms:created>
  <dcterms:modified xsi:type="dcterms:W3CDTF">2026-08-02T19:15:11.505Z</dcterms:modified>
</cp:coreProperties>
</file>

<file path=docProps/custom.xml><?xml version="1.0" encoding="utf-8"?>
<Properties xmlns="http://schemas.openxmlformats.org/officeDocument/2006/custom-properties" xmlns:vt="http://schemas.openxmlformats.org/officeDocument/2006/docPropsVTypes"/>
</file>