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66677"/>
          <w:sz w:val="20"/>
          <w:szCs w:val="20"/>
        </w:rPr>
        <w:t xml:space="preserve">CASE STUDY</w:t>
      </w:r>
    </w:p>
    <w:p>
      <w:pPr>
        <w:spacing w:after="80"/>
      </w:pPr>
      <w:r>
        <w:rPr>
          <w:b/>
          <w:bCs/>
          <w:color w:val="1A1A2E"/>
          <w:sz w:val="40"/>
          <w:szCs w:val="40"/>
        </w:rPr>
        <w:t xml:space="preserve">Technogence</w:t>
      </w:r>
    </w:p>
    <w:p>
      <w:pPr>
        <w:spacing w:after="200"/>
      </w:pPr>
      <w:r>
        <w:rPr>
          <w:color w:val="444455"/>
          <w:sz w:val="24"/>
          <w:szCs w:val="24"/>
        </w:rPr>
        <w:t xml:space="preserve">Software services and training · [CITY], India</w:t>
      </w:r>
    </w:p>
    <w:p>
      <w:pPr>
        <w:spacing w:after="200" w:line="300"/>
      </w:pPr>
      <w:r>
        <w:rPr>
          <w:color w:val="2A2A3E"/>
          <w:sz w:val="25"/>
          <w:szCs w:val="25"/>
        </w:rPr>
        <w:t xml:space="preserve">Enrolment records sat in a spreadsheet per cohort, counted by hand. The numbers were usually out of date before they reached anyone who needed them.</w:t>
      </w:r>
    </w:p>
    <w:p>
      <w:pPr>
        <w:pBdr>
          <w:bottom w:val="single" w:color="999999" w:sz="6" w:space="6"/>
        </w:pBdr>
        <w:spacing w:after="320"/>
      </w:pPr>
    </w:p>
    <w:p>
      <w:pPr>
        <w:pBdr>
          <w:bottom w:val="single" w:color="999999" w:sz="6" w:space="6"/>
        </w:pBdr>
        <w:spacing w:after="320"/>
      </w:pPr>
      <w:r>
        <w:rPr>
          <w:i/>
          <w:iCs/>
          <w:color w:val="8A1C1C"/>
          <w:sz w:val="20"/>
          <w:szCs w:val="20"/>
        </w:rPr>
        <w:t xml:space="preserve">DRAFT FOR APPROVAL — NOT YET VERIFIED. Every highlighted field must be completed and confirmed by Technogence. This document must not be published, submitted to any third party, or used as evidence until Technogence has approved it in writing using the sign-off block on the last page.</w:t>
      </w:r>
    </w:p>
    <w:p>
      <w:pPr>
        <w:pStyle w:val="Heading1"/>
        <w:spacing w:after="160" w:before="360"/>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Sector</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Software services and training</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Location</w:t>
            </w:r>
          </w:p>
        </w:tc>
        <w:tc>
          <w:tcPr>
            <w:tcW w:type="dxa" w:w="6426"/>
            <w:tcMar>
              <w:top w:type="dxa" w:w="100"/>
              <w:left w:type="dxa" w:w="140"/>
              <w:bottom w:type="dxa" w:w="100"/>
              <w:right w:type="dxa" w:w="140"/>
            </w:tcMar>
            <w:vAlign w:val="center"/>
          </w:tcPr>
          <w:p>
            <w:pPr>
              <w:spacing w:after="0" w:line="260"/>
            </w:pPr>
            <w:r>
              <w:rPr>
                <w:b w:val="false"/>
                <w:bCs w:val="false"/>
                <w:sz w:val="20"/>
                <w:szCs w:val="20"/>
                <w:highlight w:val="yellow"/>
                <w:highlightCs w:val="yellow"/>
              </w:rPr>
              <w:t xml:space="preserve">[CITY]</w:t>
            </w:r>
            <w:r>
              <w:rPr>
                <w:b w:val="false"/>
                <w:bCs w:val="false"/>
                <w:sz w:val="20"/>
                <w:szCs w:val="20"/>
              </w:rPr>
              <w:t xml:space="preserve">, India</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Size</w:t>
            </w:r>
          </w:p>
        </w:tc>
        <w:tc>
          <w:tcPr>
            <w:tcW w:type="dxa" w:w="6426"/>
            <w:tcMar>
              <w:top w:type="dxa" w:w="100"/>
              <w:left w:type="dxa" w:w="140"/>
              <w:bottom w:type="dxa" w:w="100"/>
              <w:right w:type="dxa" w:w="140"/>
            </w:tcMar>
            <w:vAlign w:val="center"/>
          </w:tcPr>
          <w:p>
            <w:pPr>
              <w:spacing w:after="0" w:line="260"/>
            </w:pPr>
            <w:r>
              <w:rPr>
                <w:b w:val="false"/>
                <w:bCs w:val="false"/>
                <w:sz w:val="20"/>
                <w:szCs w:val="20"/>
                <w:highlight w:val="yellow"/>
                <w:highlightCs w:val="yellow"/>
              </w:rPr>
              <w:t xml:space="preserve">[N]</w:t>
            </w:r>
            <w:r>
              <w:rPr>
                <w:b w:val="false"/>
                <w:bCs w:val="false"/>
                <w:sz w:val="20"/>
                <w:szCs w:val="20"/>
              </w:rPr>
              <w:t xml:space="preserve"> employees</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Using QuickInsight since</w:t>
            </w:r>
          </w:p>
        </w:tc>
        <w:tc>
          <w:tcPr>
            <w:tcW w:type="dxa" w:w="6426"/>
            <w:tcMar>
              <w:top w:type="dxa" w:w="100"/>
              <w:left w:type="dxa" w:w="140"/>
              <w:bottom w:type="dxa" w:w="100"/>
              <w:right w:type="dxa" w:w="140"/>
            </w:tcMar>
            <w:vAlign w:val="center"/>
          </w:tcPr>
          <w:p>
            <w:pPr>
              <w:spacing w:after="0" w:line="260"/>
            </w:pPr>
            <w:r>
              <w:rPr>
                <w:b w:val="false"/>
                <w:bCs w:val="false"/>
                <w:sz w:val="20"/>
                <w:szCs w:val="20"/>
                <w:highlight w:val="yellow"/>
                <w:highlightCs w:val="yellow"/>
              </w:rPr>
              <w:t xml:space="preserve">[MONTH YEAR]</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Used for</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Training programme enrolment analysis</w:t>
            </w:r>
          </w:p>
        </w:tc>
      </w:tr>
      <w:tr>
        <w:trPr>
          <w:tblHeader w:val="false"/>
        </w:trPr>
        <w:tc>
          <w:tcPr>
            <w:tcW w:type="dxa" w:w="2600"/>
            <w:tcMar>
              <w:top w:type="dxa" w:w="100"/>
              <w:left w:type="dxa" w:w="140"/>
              <w:bottom w:type="dxa" w:w="100"/>
              <w:right w:type="dxa" w:w="140"/>
            </w:tcMar>
            <w:vAlign w:val="center"/>
          </w:tcPr>
          <w:p>
            <w:pPr>
              <w:spacing w:after="0" w:line="260"/>
            </w:pPr>
            <w:r>
              <w:rPr>
                <w:b/>
                <w:bCs/>
                <w:sz w:val="20"/>
                <w:szCs w:val="20"/>
              </w:rPr>
              <w:t xml:space="preserve">Data source</w:t>
            </w:r>
          </w:p>
        </w:tc>
        <w:tc>
          <w:tcPr>
            <w:tcW w:type="dxa" w:w="6426"/>
            <w:tcMar>
              <w:top w:type="dxa" w:w="100"/>
              <w:left w:type="dxa" w:w="140"/>
              <w:bottom w:type="dxa" w:w="100"/>
              <w:right w:type="dxa" w:w="140"/>
            </w:tcMar>
            <w:vAlign w:val="center"/>
          </w:tcPr>
          <w:p>
            <w:pPr>
              <w:spacing w:after="0" w:line="260"/>
            </w:pPr>
            <w:r>
              <w:rPr>
                <w:b w:val="false"/>
                <w:bCs w:val="false"/>
                <w:sz w:val="20"/>
                <w:szCs w:val="20"/>
              </w:rPr>
              <w:t xml:space="preserve">Excel enrolment records — </w:t>
            </w:r>
            <w:r>
              <w:rPr>
                <w:b w:val="false"/>
                <w:bCs w:val="false"/>
                <w:sz w:val="20"/>
                <w:szCs w:val="20"/>
                <w:highlight w:val="yellow"/>
                <w:highlightCs w:val="yellow"/>
              </w:rPr>
              <w:t xml:space="preserve">[DESCRIBE, e.g. one sheet per cohort]</w:t>
            </w:r>
          </w:p>
        </w:tc>
      </w:tr>
    </w:tbl>
    <w:p>
      <w:pPr>
        <w:pStyle w:val="Heading1"/>
        <w:spacing w:after="160" w:before="360"/>
      </w:pPr>
      <w:r>
        <w:t xml:space="preserve">Counting rows by hand</w:t>
      </w:r>
    </w:p>
    <w:p>
      <w:pPr>
        <w:spacing w:after="180" w:line="288"/>
      </w:pPr>
      <w:r>
        <w:t xml:space="preserve">Technogence runs </w:t>
      </w:r>
      <w:r>
        <w:rPr>
          <w:b/>
          <w:bCs/>
          <w:highlight w:val="yellow"/>
          <w:highlightCs w:val="yellow"/>
        </w:rPr>
        <w:t xml:space="preserve">[DESCRIBE — e.g. technical training programmes for graduates and corporate clients]</w:t>
      </w:r>
      <w:r>
        <w:t xml:space="preserve">. Enrolment is recorded in Excel, </w:t>
      </w:r>
      <w:r>
        <w:rPr>
          <w:b/>
          <w:bCs/>
          <w:highlight w:val="yellow"/>
          <w:highlightCs w:val="yellow"/>
        </w:rPr>
        <w:t xml:space="preserve">[DESCRIBE THE STRUCTURE — e.g. one sheet per intake, maintained by the programme coordinators]</w:t>
      </w:r>
      <w:r>
        <w:t xml:space="preserve">.</w:t>
      </w:r>
    </w:p>
    <w:p>
      <w:pPr>
        <w:spacing w:after="180" w:line="288"/>
      </w:pPr>
      <w:r>
        <w:t xml:space="preserve">It worked well enough for recording. It worked badly for answering questions. Understanding how enrolment was tracking across programmes meant opening each sheet in turn and counting rows — </w:t>
      </w:r>
      <w:r>
        <w:rPr>
          <w:b/>
          <w:bCs/>
          <w:highlight w:val="yellow"/>
          <w:highlightCs w:val="yellow"/>
        </w:rPr>
        <w:t xml:space="preserve">[N]</w:t>
      </w:r>
      <w:r>
        <w:t xml:space="preserve"> hours per </w:t>
      </w:r>
      <w:r>
        <w:rPr>
          <w:b/>
          <w:bCs/>
          <w:highlight w:val="yellow"/>
          <w:highlightCs w:val="yellow"/>
        </w:rPr>
        <w:t xml:space="preserve">[week / month]</w:t>
      </w:r>
      <w:r>
        <w:t xml:space="preserve">, for a set of numbers that were usually stale by the time they were circulated.</w:t>
      </w:r>
    </w:p>
    <w:p>
      <w:pPr>
        <w:spacing w:after="180" w:line="288"/>
      </w:pPr>
      <w:r>
        <w:t xml:space="preserve">The recurring problems were:</w:t>
      </w:r>
    </w:p>
    <w:p>
      <w:pPr>
        <w:pStyle w:val="ListParagraph"/>
        <w:numPr>
          <w:ilvl w:val="0"/>
          <w:numId w:val="2"/>
        </w:numPr>
        <w:spacing w:after="110" w:line="276"/>
      </w:pPr>
      <w:r>
        <w:rPr>
          <w:b/>
          <w:bCs/>
          <w:highlight w:val="yellow"/>
          <w:highlightCs w:val="yellow"/>
        </w:rPr>
        <w:t xml:space="preserve">[DIFFICULTY 1 — e.g. each coordinator structured their sheet slightly differently, so the columns did not line up]</w:t>
      </w:r>
    </w:p>
    <w:p>
      <w:pPr>
        <w:pStyle w:val="ListParagraph"/>
        <w:numPr>
          <w:ilvl w:val="0"/>
          <w:numId w:val="2"/>
        </w:numPr>
        <w:spacing w:after="110" w:line="276"/>
      </w:pPr>
      <w:r>
        <w:rPr>
          <w:b/>
          <w:bCs/>
          <w:highlight w:val="yellow"/>
          <w:highlightCs w:val="yellow"/>
        </w:rPr>
        <w:t xml:space="preserve">[DIFFICULTY 2 — e.g. enrolment status was free text, so counting completions meant reading every row]</w:t>
      </w:r>
    </w:p>
    <w:p>
      <w:pPr>
        <w:pStyle w:val="ListParagraph"/>
        <w:numPr>
          <w:ilvl w:val="0"/>
          <w:numId w:val="2"/>
        </w:numPr>
        <w:spacing w:after="110" w:line="276"/>
      </w:pPr>
      <w:r>
        <w:rPr>
          <w:b/>
          <w:bCs/>
          <w:highlight w:val="yellow"/>
          <w:highlightCs w:val="yellow"/>
        </w:rPr>
        <w:t xml:space="preserve">[DIFFICULTY 3 — e.g. there was no view of drop-off between enrolment and completion across programmes]</w:t>
      </w:r>
    </w:p>
    <w:p>
      <w:pPr>
        <w:pStyle w:val="Heading1"/>
        <w:spacing w:after="160" w:before="360"/>
      </w:pPr>
      <w:r>
        <w:t xml:space="preserve">Why the usual answers did not fit</w:t>
      </w:r>
    </w:p>
    <w:p>
      <w:pPr>
        <w:spacing w:after="180" w:line="288"/>
      </w:pPr>
      <w:r>
        <w:t xml:space="preserve">The obvious solution is to hire someone. A data analyst would have taken the reporting off </w:t>
      </w:r>
      <w:r>
        <w:rPr>
          <w:b/>
          <w:bCs/>
          <w:highlight w:val="yellow"/>
          <w:highlightCs w:val="yellow"/>
        </w:rPr>
        <w:t xml:space="preserve">[ROLE — e.g. the programme coordinators]</w:t>
      </w:r>
      <w:r>
        <w:t xml:space="preserve">’s desk entirely. But a salaried analyst was never realistic for a business of Technogence’s size — the cost of the role would have been out of proportion to the problem it solved. </w:t>
      </w:r>
      <w:r>
        <w:rPr>
          <w:b/>
          <w:bCs/>
          <w:highlight w:val="yellow"/>
          <w:highlightCs w:val="yellow"/>
        </w:rPr>
        <w:t xml:space="preserve">[ADD TECHNOGENCE’S OWN WORDS ON WHY HIRING WAS NOT AN OPTION, IF THEY ARE WILLING TO GIVE THEM.]</w:t>
      </w:r>
    </w:p>
    <w:p>
      <w:pPr>
        <w:spacing w:after="180" w:line="288"/>
      </w:pPr>
      <w:r>
        <w:t xml:space="preserve">The second obvious solution is a business intelligence tool. On paper these solve exactly this problem. In practice they move the difficulty rather than removing it: before a chart appears, someone has to connect the data, define how tables relate to each other, and build a model. That is analyst work. Buying the software does not supply the person who knows how to use it, and for a small team the licence cost arrives on top of a learning curve nobody has time for.</w:t>
      </w:r>
    </w:p>
    <w:p>
      <w:pPr>
        <w:spacing w:after="180" w:line="288"/>
      </w:pPr>
      <w:r>
        <w:t xml:space="preserve">Moving the records into a proper system was considered, but replacing a working process for the sake of reporting is a large change to make for a small question, and the coordinators were comfortable in Excel. </w:t>
      </w:r>
      <w:r>
        <w:rPr>
          <w:b/>
          <w:bCs/>
          <w:highlight w:val="yellow"/>
          <w:highlightCs w:val="yellow"/>
        </w:rPr>
        <w:t xml:space="preserve">[CONFIRM OR REPLACE WITH WHAT TECHNOGENCE ACTUALLY CONSIDERED.]</w:t>
      </w:r>
    </w:p>
    <w:p>
      <w:pPr>
        <w:spacing w:after="180" w:line="288"/>
      </w:pPr>
      <w:r>
        <w:t xml:space="preserve">So the work stayed where it was — with </w:t>
      </w:r>
      <w:r>
        <w:rPr>
          <w:b/>
          <w:bCs/>
          <w:highlight w:val="yellow"/>
          <w:highlightCs w:val="yellow"/>
        </w:rPr>
        <w:t xml:space="preserve">[ROLE — e.g. the programme coordinators]</w:t>
      </w:r>
      <w:r>
        <w:t xml:space="preserve">, in Excel, done by hand.</w:t>
      </w:r>
    </w:p>
    <w:p>
      <w:pPr>
        <w:pStyle w:val="Heading1"/>
        <w:spacing w:after="160" w:before="360"/>
      </w:pPr>
      <w:r>
        <w:t xml:space="preserve">What changed</w:t>
      </w:r>
    </w:p>
    <w:p>
      <w:pPr>
        <w:spacing w:after="180" w:line="288"/>
      </w:pPr>
      <w:r>
        <w:t xml:space="preserve">Technogence started using QuickInsight in </w:t>
      </w:r>
      <w:r>
        <w:rPr>
          <w:b/>
          <w:bCs/>
          <w:highlight w:val="yellow"/>
          <w:highlightCs w:val="yellow"/>
        </w:rPr>
        <w:t xml:space="preserve">[MONTH YEAR]</w:t>
      </w:r>
      <w:r>
        <w:t xml:space="preserve">. It is a browser-based analysis tool built for people who work with spreadsheets rather than for data specialists.</w:t>
      </w:r>
    </w:p>
    <w:p>
      <w:pPr>
        <w:spacing w:after="180" w:line="288"/>
      </w:pPr>
      <w:r>
        <w:t xml:space="preserve">A coordinator loads the enrolment spreadsheet straight into the browser. The inconsistent status values that made counting so laborious are standardised automatically, so "Completed", "completed" and "COMPLETE" are counted as one thing rather than three.</w:t>
      </w:r>
    </w:p>
    <w:p>
      <w:pPr>
        <w:spacing w:after="180" w:line="288"/>
      </w:pPr>
      <w:r>
        <w:t xml:space="preserve">The cleaning that used to be done by hand happens automatically when the file loads. QuickInsight reads the spreadsheet, works out which columns are dates and standardises their formats, identifies which numbers can meaningfully be added up and which cannot, tidies inconsistent category values so that the same thing spelled two ways is counted once, and flags columns that hold personal information. None of this requires a decision from the user.</w:t>
      </w:r>
    </w:p>
    <w:p>
      <w:pPr>
        <w:spacing w:after="180" w:line="288"/>
      </w:pPr>
      <w:r>
        <w:t xml:space="preserve">Questions are then asked in one of two ways. The guided question builder works by choosing what to break the numbers down by, which figure to measure, which rows to include and how to order the result — the four things every business question is made of. Alternatively the question can simply be typed in plain English. Either way a chart or table appears, with the underlying query visible for anyone who wants to check it.</w:t>
      </w:r>
    </w:p>
    <w:p>
      <w:pPr>
        <w:spacing w:after="180" w:line="288"/>
      </w:pPr>
      <w:r>
        <w:rPr>
          <w:b/>
          <w:bCs/>
          <w:highlight w:val="yellow"/>
          <w:highlightCs w:val="yellow"/>
        </w:rPr>
        <w:t xml:space="preserve">[ROLE — e.g. The programme team]</w:t>
      </w:r>
      <w:r>
        <w:t xml:space="preserve"> now asks questions such as:</w:t>
      </w:r>
    </w:p>
    <w:p>
      <w:pPr>
        <w:pStyle w:val="ListParagraph"/>
        <w:numPr>
          <w:ilvl w:val="0"/>
          <w:numId w:val="2"/>
        </w:numPr>
        <w:spacing w:after="110" w:line="276"/>
      </w:pPr>
      <w:r>
        <w:rPr>
          <w:b/>
          <w:bCs/>
          <w:highlight w:val="yellow"/>
          <w:highlightCs w:val="yellow"/>
        </w:rPr>
        <w:t xml:space="preserve">[QUESTION 1 — e.g. enrolments by programme, this intake]</w:t>
      </w:r>
    </w:p>
    <w:p>
      <w:pPr>
        <w:pStyle w:val="ListParagraph"/>
        <w:numPr>
          <w:ilvl w:val="0"/>
          <w:numId w:val="2"/>
        </w:numPr>
        <w:spacing w:after="110" w:line="276"/>
      </w:pPr>
      <w:r>
        <w:rPr>
          <w:b/>
          <w:bCs/>
          <w:highlight w:val="yellow"/>
          <w:highlightCs w:val="yellow"/>
        </w:rPr>
        <w:t xml:space="preserve">[QUESTION 2 — e.g. completion rate by cohort, lowest first]</w:t>
      </w:r>
    </w:p>
    <w:p>
      <w:pPr>
        <w:pStyle w:val="ListParagraph"/>
        <w:numPr>
          <w:ilvl w:val="0"/>
          <w:numId w:val="2"/>
        </w:numPr>
        <w:spacing w:after="110" w:line="276"/>
      </w:pPr>
      <w:r>
        <w:rPr>
          <w:b/>
          <w:bCs/>
          <w:highlight w:val="yellow"/>
          <w:highlightCs w:val="yellow"/>
        </w:rPr>
        <w:t xml:space="preserve">[QUESTION 3 — e.g. enrolments month by month against the same period last year]</w:t>
      </w:r>
    </w:p>
    <w:p>
      <w:pPr>
        <w:pStyle w:val="ListParagraph"/>
        <w:numPr>
          <w:ilvl w:val="0"/>
          <w:numId w:val="2"/>
        </w:numPr>
        <w:spacing w:after="110" w:line="276"/>
      </w:pPr>
      <w:r>
        <w:rPr>
          <w:b/>
          <w:bCs/>
          <w:highlight w:val="yellow"/>
          <w:highlightCs w:val="yellow"/>
        </w:rPr>
        <w:t xml:space="preserve">[QUESTION 4 — e.g. drop-off between enrolment and completion by trainer]</w:t>
      </w:r>
    </w:p>
    <w:p>
      <w:pPr>
        <w:spacing w:after="180" w:line="288"/>
      </w:pPr>
      <w:r>
        <w:t xml:space="preserve">The enrolment summary is now a saved dashboard rather than a task, so the figures are current whenever anyone looks. It is shared with </w:t>
      </w:r>
      <w:r>
        <w:rPr>
          <w:b/>
          <w:bCs/>
          <w:highlight w:val="yellow"/>
          <w:highlightCs w:val="yellow"/>
        </w:rPr>
        <w:t xml:space="preserve">[WHO]</w:t>
      </w:r>
      <w:r>
        <w:t xml:space="preserve"> </w:t>
      </w:r>
      <w:r>
        <w:rPr>
          <w:b/>
          <w:bCs/>
          <w:highlight w:val="yellow"/>
          <w:highlightCs w:val="yellow"/>
        </w:rPr>
        <w:t xml:space="preserve">[HOW OFTEN]</w:t>
      </w:r>
      <w:r>
        <w:t xml:space="preserve">.</w:t>
      </w:r>
    </w:p>
    <w:p>
      <w:pPr>
        <w:pStyle w:val="Heading1"/>
        <w:spacing w:after="160" w:before="360"/>
      </w:pPr>
      <w:r>
        <w:t xml:space="preserve">A note on the data itself</w:t>
      </w:r>
    </w:p>
    <w:p>
      <w:pPr>
        <w:spacing w:after="180" w:line="288"/>
      </w:pPr>
      <w:r>
        <w:t xml:space="preserve">Enrolment records hold trainee names, email addresses and telephone numbers — personal data belonging to individuals who signed up for a course, not to Technogence.</w:t>
      </w:r>
    </w:p>
    <w:p>
      <w:pPr>
        <w:spacing w:after="180" w:line="288"/>
      </w:pPr>
      <w:r>
        <w:t xml:space="preserve">This turned out to matter more than expected. QuickInsight does its work inside the web browser on the user’s own computer — the spreadsheet is never uploaded to a server. Where the plain-English question feature is used, only the structure of the data is sent: table names, column names and data types. No data values are sent unless the user explicitly switches that on, and even then anything resembling a name, an identifier, contact details or a sensitive category is excluded automatically, with the user able to switch off any remaining column or individual value first.</w:t>
      </w:r>
    </w:p>
    <w:p>
      <w:pPr>
        <w:spacing w:after="180" w:line="288"/>
      </w:pPr>
      <w:r>
        <w:t xml:space="preserve">The practical effect is that adopting the tool required no data protection review, no supplier security assessment, and no conversation about where the data would be stored. </w:t>
      </w:r>
      <w:r>
        <w:rPr>
          <w:b/>
          <w:bCs/>
          <w:highlight w:val="yellow"/>
          <w:highlightCs w:val="yellow"/>
        </w:rPr>
        <w:t xml:space="preserve">[CONFIRM THIS IS ACCURATE FOR THIS CUSTOMER — DELETE IF A REVIEW WAS IN FACT CARRIED OUT, OR REPLACE WITH WHAT THEY DID.]</w:t>
      </w:r>
    </w:p>
    <w:p>
      <w:pPr>
        <w:pStyle w:val="Heading1"/>
        <w:spacing w:after="160" w:before="360"/>
      </w:pPr>
      <w:r>
        <w:t xml:space="preserve">Results</w:t>
      </w:r>
    </w:p>
    <w:p>
      <w:pPr>
        <w:spacing w:after="180" w:line="288"/>
      </w:pPr>
      <w:r>
        <w:rPr>
          <w:b/>
          <w:bCs/>
          <w:highlight w:val="yellow"/>
          <w:highlightCs w:val="yellow"/>
        </w:rPr>
        <w:t xml:space="preserve">[Technogence to complete. Use only figures Technogence can stand behind. Delete any row that cannot be evidenced.]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tblHeader/>
        </w:trPr>
        <w:tc>
          <w:tcPr>
            <w:tcW w:type="dxa" w:w="4200"/>
            <w:shd w:fill="E8EAF0" w:color="auto" w:val="clear"/>
            <w:tcMar>
              <w:top w:type="dxa" w:w="100"/>
              <w:left w:type="dxa" w:w="140"/>
              <w:bottom w:type="dxa" w:w="100"/>
              <w:right w:type="dxa" w:w="140"/>
            </w:tcMar>
            <w:vAlign w:val="center"/>
          </w:tcPr>
          <w:p>
            <w:pPr>
              <w:spacing w:after="0" w:line="260"/>
            </w:pPr>
            <w:r>
              <w:rPr>
                <w:b/>
                <w:bCs/>
                <w:sz w:val="20"/>
                <w:szCs w:val="20"/>
              </w:rPr>
              <w:t xml:space="preserve">Measure</w:t>
            </w:r>
          </w:p>
        </w:tc>
        <w:tc>
          <w:tcPr>
            <w:tcW w:type="dxa" w:w="2400"/>
            <w:shd w:fill="E8EAF0" w:color="auto" w:val="clear"/>
            <w:tcMar>
              <w:top w:type="dxa" w:w="100"/>
              <w:left w:type="dxa" w:w="140"/>
              <w:bottom w:type="dxa" w:w="100"/>
              <w:right w:type="dxa" w:w="140"/>
            </w:tcMar>
            <w:vAlign w:val="center"/>
          </w:tcPr>
          <w:p>
            <w:pPr>
              <w:spacing w:after="0" w:line="260"/>
            </w:pPr>
            <w:r>
              <w:rPr>
                <w:b/>
                <w:bCs/>
                <w:sz w:val="20"/>
                <w:szCs w:val="20"/>
              </w:rPr>
              <w:t xml:space="preserve">Before</w:t>
            </w:r>
          </w:p>
        </w:tc>
        <w:tc>
          <w:tcPr>
            <w:tcW w:type="dxa" w:w="2426"/>
            <w:shd w:fill="E8EAF0" w:color="auto" w:val="clear"/>
            <w:tcMar>
              <w:top w:type="dxa" w:w="100"/>
              <w:left w:type="dxa" w:w="140"/>
              <w:bottom w:type="dxa" w:w="100"/>
              <w:right w:type="dxa" w:w="140"/>
            </w:tcMar>
            <w:vAlign w:val="center"/>
          </w:tcPr>
          <w:p>
            <w:pPr>
              <w:spacing w:after="0" w:line="260"/>
            </w:pPr>
            <w:r>
              <w:rPr>
                <w:b/>
                <w:bCs/>
                <w:sz w:val="20"/>
                <w:szCs w:val="20"/>
              </w:rPr>
              <w:t xml:space="preserve">After</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Time to produce the enrolment summary</w:t>
            </w:r>
          </w:p>
        </w:tc>
        <w:tc>
          <w:tcPr>
            <w:tcW w:type="dxa" w:w="2400"/>
            <w:tcMar>
              <w:top w:type="dxa" w:w="100"/>
              <w:left w:type="dxa" w:w="140"/>
              <w:bottom w:type="dxa" w:w="100"/>
              <w:right w:type="dxa" w:w="140"/>
            </w:tcMar>
            <w:vAlign w:val="center"/>
          </w:tcPr>
          <w:p>
            <w:pPr>
              <w:spacing w:after="0" w:line="260"/>
            </w:pPr>
            <w:r>
              <w:rPr>
                <w:sz w:val="20"/>
                <w:szCs w:val="20"/>
                <w:highlight w:val="yellow"/>
                <w:highlightCs w:val="yellow"/>
              </w:rPr>
              <w:t xml:space="preserve">[N]</w:t>
            </w:r>
            <w:r>
              <w:rPr>
                <w:sz w:val="20"/>
                <w:szCs w:val="20"/>
              </w:rPr>
              <w:t xml:space="preserve"> hours</w:t>
            </w:r>
          </w:p>
        </w:tc>
        <w:tc>
          <w:tcPr>
            <w:tcW w:type="dxa" w:w="2426"/>
            <w:tcMar>
              <w:top w:type="dxa" w:w="100"/>
              <w:left w:type="dxa" w:w="140"/>
              <w:bottom w:type="dxa" w:w="100"/>
              <w:right w:type="dxa" w:w="140"/>
            </w:tcMar>
            <w:vAlign w:val="center"/>
          </w:tcPr>
          <w:p>
            <w:pPr>
              <w:spacing w:after="0" w:line="260"/>
            </w:pPr>
            <w:r>
              <w:rPr>
                <w:sz w:val="20"/>
                <w:szCs w:val="20"/>
                <w:highlight w:val="yellow"/>
                <w:highlightCs w:val="yellow"/>
              </w:rPr>
              <w:t xml:space="preserve">[N]</w:t>
            </w:r>
            <w:r>
              <w:rPr>
                <w:sz w:val="20"/>
                <w:szCs w:val="20"/>
              </w:rPr>
              <w:t xml:space="preserve"> minutes</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rPr>
              <w:t xml:space="preserve">How current the figures are when circulated</w:t>
            </w:r>
          </w:p>
        </w:tc>
        <w:tc>
          <w:tcPr>
            <w:tcW w:type="dxa" w:w="2400"/>
            <w:tcMar>
              <w:top w:type="dxa" w:w="100"/>
              <w:left w:type="dxa" w:w="140"/>
              <w:bottom w:type="dxa" w:w="100"/>
              <w:right w:type="dxa" w:w="140"/>
            </w:tcMar>
            <w:vAlign w:val="center"/>
          </w:tcPr>
          <w:p>
            <w:pPr>
              <w:spacing w:after="0" w:line="260"/>
            </w:pPr>
            <w:r>
              <w:rPr>
                <w:sz w:val="20"/>
                <w:szCs w:val="20"/>
                <w:highlight w:val="yellow"/>
                <w:highlightCs w:val="yellow"/>
              </w:rPr>
              <w:t xml:space="preserve">[e.g. a week old]</w:t>
            </w:r>
          </w:p>
        </w:tc>
        <w:tc>
          <w:tcPr>
            <w:tcW w:type="dxa" w:w="2426"/>
            <w:tcMar>
              <w:top w:type="dxa" w:w="100"/>
              <w:left w:type="dxa" w:w="140"/>
              <w:bottom w:type="dxa" w:w="100"/>
              <w:right w:type="dxa" w:w="140"/>
            </w:tcMar>
            <w:vAlign w:val="center"/>
          </w:tcPr>
          <w:p>
            <w:pPr>
              <w:spacing w:after="0" w:line="260"/>
            </w:pPr>
            <w:r>
              <w:rPr>
                <w:sz w:val="20"/>
                <w:szCs w:val="20"/>
                <w:highlight w:val="yellow"/>
                <w:highlightCs w:val="yellow"/>
              </w:rPr>
              <w:t xml:space="preserve">[e.g. same day]</w:t>
            </w:r>
          </w:p>
        </w:tc>
      </w:tr>
      <w:tr>
        <w:trPr>
          <w:tblHeader w:val="false"/>
        </w:trPr>
        <w:tc>
          <w:tcPr>
            <w:tcW w:type="dxa" w:w="4200"/>
            <w:tcMar>
              <w:top w:type="dxa" w:w="100"/>
              <w:left w:type="dxa" w:w="140"/>
              <w:bottom w:type="dxa" w:w="100"/>
              <w:right w:type="dxa" w:w="140"/>
            </w:tcMar>
            <w:vAlign w:val="center"/>
          </w:tcPr>
          <w:p>
            <w:pPr>
              <w:spacing w:after="0" w:line="260"/>
            </w:pPr>
            <w:r>
              <w:rPr>
                <w:sz w:val="20"/>
                <w:szCs w:val="20"/>
                <w:highlight w:val="yellow"/>
                <w:highlightCs w:val="yellow"/>
              </w:rPr>
              <w:t xml:space="preserve">[OTHER MEASURE]</w:t>
            </w:r>
          </w:p>
        </w:tc>
        <w:tc>
          <w:tcPr>
            <w:tcW w:type="dxa" w:w="2400"/>
            <w:tcMar>
              <w:top w:type="dxa" w:w="100"/>
              <w:left w:type="dxa" w:w="140"/>
              <w:bottom w:type="dxa" w:w="100"/>
              <w:right w:type="dxa" w:w="140"/>
            </w:tcMar>
            <w:vAlign w:val="center"/>
          </w:tcPr>
          <w:p>
            <w:pPr>
              <w:spacing w:after="0" w:line="260"/>
            </w:pPr>
            <w:r>
              <w:rPr>
                <w:sz w:val="20"/>
                <w:szCs w:val="20"/>
                <w:highlight w:val="yellow"/>
                <w:highlightCs w:val="yellow"/>
              </w:rPr>
              <w:t xml:space="preserve">[VALUE]</w:t>
            </w:r>
          </w:p>
        </w:tc>
        <w:tc>
          <w:tcPr>
            <w:tcW w:type="dxa" w:w="2426"/>
            <w:tcMar>
              <w:top w:type="dxa" w:w="100"/>
              <w:left w:type="dxa" w:w="140"/>
              <w:bottom w:type="dxa" w:w="100"/>
              <w:right w:type="dxa" w:w="140"/>
            </w:tcMar>
            <w:vAlign w:val="center"/>
          </w:tcPr>
          <w:p>
            <w:pPr>
              <w:spacing w:after="0" w:line="260"/>
            </w:pPr>
            <w:r>
              <w:rPr>
                <w:sz w:val="20"/>
                <w:szCs w:val="20"/>
                <w:highlight w:val="yellow"/>
                <w:highlightCs w:val="yellow"/>
              </w:rPr>
              <w:t xml:space="preserve">[VALUE]</w:t>
            </w:r>
          </w:p>
        </w:tc>
      </w:tr>
    </w:tbl>
    <w:p>
      <w:pPr>
        <w:spacing w:after="200"/>
      </w:pPr>
    </w:p>
    <w:p>
      <w:pPr>
        <w:spacing w:after="180" w:line="288"/>
      </w:pPr>
      <w:r>
        <w:rPr>
          <w:b/>
          <w:bCs/>
          <w:highlight w:val="yellow"/>
          <w:highlightCs w:val="yellow"/>
        </w:rPr>
        <w:t xml:space="preserve">[ADD ANY OUTCOME THAT IS NOT A TIME SAVING — something the analysis showed that was not known before, or a decision made differently as a result. A specific incident is more persuasive than an average.]</w:t>
      </w:r>
    </w:p>
    <w:p>
      <w:pPr>
        <w:pStyle w:val="Heading1"/>
        <w:spacing w:after="160" w:before="360"/>
      </w:pPr>
      <w:r>
        <w:t xml:space="preserve">In their words</w:t>
      </w:r>
    </w:p>
    <w:p>
      <w:pPr>
        <w:pBdr>
          <w:left w:val="single" w:color="B0B4C0" w:sz="18" w:space="12"/>
        </w:pBdr>
        <w:spacing w:after="140" w:before="160" w:line="300"/>
        <w:ind w:left="480"/>
      </w:pPr>
      <w:r>
        <w:rPr>
          <w:i/>
          <w:iCs/>
          <w:color w:val="2A2A3E"/>
          <w:sz w:val="26"/>
          <w:szCs w:val="26"/>
        </w:rPr>
        <w:t xml:space="preserve">"[QUOTE — the customer’s own words. What the week looks like now compared with before, and what they would say to another small business in the same position.]"</w:t>
      </w:r>
    </w:p>
    <w:p>
      <w:pPr>
        <w:spacing w:after="180" w:line="288"/>
        <w:ind w:left="480"/>
      </w:pPr>
      <w:r>
        <w:t xml:space="preserve">— </w:t>
      </w:r>
      <w:r>
        <w:rPr>
          <w:b/>
          <w:bCs/>
          <w:highlight w:val="yellow"/>
          <w:highlightCs w:val="yellow"/>
        </w:rPr>
        <w:t xml:space="preserve">[NAME]</w:t>
      </w:r>
      <w:r>
        <w:t xml:space="preserve">, </w:t>
      </w:r>
      <w:r>
        <w:rPr>
          <w:b/>
          <w:bCs/>
          <w:highlight w:val="yellow"/>
          <w:highlightCs w:val="yellow"/>
        </w:rPr>
        <w:t xml:space="preserve">[JOB TITLE]</w:t>
      </w:r>
      <w:r>
        <w:t xml:space="preserve">, Technogence</w:t>
      </w:r>
    </w:p>
    <w:p>
      <w:r>
        <w:br w:type="page"/>
      </w:r>
    </w:p>
    <w:p>
      <w:pPr>
        <w:pStyle w:val="Heading1"/>
        <w:spacing w:after="160" w:before="360"/>
      </w:pPr>
      <w:r>
        <w:t xml:space="preserve">Approval</w:t>
      </w:r>
    </w:p>
    <w:p>
      <w:pPr>
        <w:spacing w:after="180" w:line="288"/>
      </w:pPr>
      <w:r>
        <w:t xml:space="preserve">I confirm that the statements and figures in this case study are accurate, and I authorise Technogence to be named, and this document to be used, in QuickInsight’s marketing materials and in applications to funding bodies, awards and government schemes.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EAF0" w:color="auto" w:val="clear"/>
            <w:tcMar>
              <w:top w:type="dxa" w:w="100"/>
              <w:left w:type="dxa" w:w="140"/>
              <w:bottom w:type="dxa" w:w="100"/>
              <w:right w:type="dxa" w:w="140"/>
            </w:tcMar>
            <w:vAlign w:val="center"/>
          </w:tcPr>
          <w:p>
            <w:pPr>
              <w:spacing w:after="0" w:line="260"/>
            </w:pPr>
            <w:r>
              <w:rPr>
                <w:b/>
                <w:bCs/>
                <w:sz w:val="20"/>
                <w:szCs w:val="20"/>
              </w:rPr>
              <w:t xml:space="preserve">For Technogence</w:t>
            </w:r>
          </w:p>
        </w:tc>
        <w:tc>
          <w:tcPr>
            <w:tcW w:type="dxa" w:w="4513"/>
            <w:shd w:fill="E8EAF0" w:color="auto" w:val="clear"/>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Signature:</w:t>
            </w: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p>
        </w:tc>
        <w:tc>
          <w:tcPr>
            <w:tcW w:type="dxa" w:w="4513"/>
            <w:tcMar>
              <w:top w:type="dxa" w:w="100"/>
              <w:left w:type="dxa" w:w="140"/>
              <w:bottom w:type="dxa" w:w="100"/>
              <w:right w:type="dxa" w:w="140"/>
            </w:tcMar>
            <w:vAlign w:val="center"/>
          </w:tcPr>
          <w:p>
            <w:pPr>
              <w:spacing w:after="0" w:line="260"/>
            </w:pP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Name:  </w:t>
            </w:r>
            <w:r>
              <w:rPr>
                <w:sz w:val="20"/>
                <w:szCs w:val="20"/>
                <w:highlight w:val="yellow"/>
                <w:highlightCs w:val="yellow"/>
              </w:rPr>
              <w:t xml:space="preserve">[FULL NAME]</w:t>
            </w:r>
          </w:p>
        </w:tc>
        <w:tc>
          <w:tcPr>
            <w:tcW w:type="dxa" w:w="4513"/>
            <w:tcMar>
              <w:top w:type="dxa" w:w="100"/>
              <w:left w:type="dxa" w:w="140"/>
              <w:bottom w:type="dxa" w:w="100"/>
              <w:right w:type="dxa" w:w="140"/>
            </w:tcMar>
            <w:vAlign w:val="center"/>
          </w:tcPr>
          <w:p>
            <w:pPr>
              <w:spacing w:after="0" w:line="260"/>
            </w:pPr>
            <w:r>
              <w:rPr>
                <w:sz w:val="20"/>
                <w:szCs w:val="20"/>
              </w:rPr>
              <w:t xml:space="preserve">Title:  </w:t>
            </w:r>
            <w:r>
              <w:rPr>
                <w:sz w:val="20"/>
                <w:szCs w:val="20"/>
                <w:highlight w:val="yellow"/>
                <w:highlightCs w:val="yellow"/>
              </w:rPr>
              <w:t xml:space="preserve">[JOB TITLE]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Email:  </w:t>
            </w:r>
            <w:r>
              <w:rPr>
                <w:sz w:val="20"/>
                <w:szCs w:val="20"/>
                <w:highlight w:val="yellow"/>
                <w:highlightCs w:val="yellow"/>
              </w:rPr>
              <w:t xml:space="preserve">[EMAIL]</w:t>
            </w:r>
          </w:p>
        </w:tc>
        <w:tc>
          <w:tcPr>
            <w:tcW w:type="dxa" w:w="4513"/>
            <w:tcMar>
              <w:top w:type="dxa" w:w="100"/>
              <w:left w:type="dxa" w:w="140"/>
              <w:bottom w:type="dxa" w:w="100"/>
              <w:right w:type="dxa" w:w="140"/>
            </w:tcMar>
            <w:vAlign w:val="center"/>
          </w:tcPr>
          <w:p>
            <w:pPr>
              <w:spacing w:after="0" w:line="260"/>
            </w:pPr>
            <w:r>
              <w:rPr>
                <w:sz w:val="20"/>
                <w:szCs w:val="20"/>
              </w:rPr>
              <w:t xml:space="preserve">Phone:  </w:t>
            </w:r>
            <w:r>
              <w:rPr>
                <w:sz w:val="20"/>
                <w:szCs w:val="20"/>
                <w:highlight w:val="yellow"/>
                <w:highlightCs w:val="yellow"/>
              </w:rPr>
              <w:t xml:space="preserve">[PHONE]</w:t>
            </w:r>
          </w:p>
        </w:tc>
      </w:tr>
      <w:tr>
        <w:trPr>
          <w:tblHeader w:val="false"/>
        </w:trPr>
        <w:tc>
          <w:tcPr>
            <w:tcW w:type="dxa" w:w="4513"/>
            <w:tcMar>
              <w:top w:type="dxa" w:w="100"/>
              <w:left w:type="dxa" w:w="140"/>
              <w:bottom w:type="dxa" w:w="100"/>
              <w:right w:type="dxa" w:w="140"/>
            </w:tcMar>
            <w:vAlign w:val="center"/>
          </w:tcPr>
          <w:p>
            <w:pPr>
              <w:spacing w:after="0" w:line="260"/>
            </w:pPr>
            <w:r>
              <w:rPr>
                <w:sz w:val="20"/>
                <w:szCs w:val="20"/>
              </w:rPr>
              <w:t xml:space="preserve">Date:</w:t>
            </w:r>
          </w:p>
        </w:tc>
        <w:tc>
          <w:tcPr>
            <w:tcW w:type="dxa" w:w="4513"/>
            <w:tcMar>
              <w:top w:type="dxa" w:w="100"/>
              <w:left w:type="dxa" w:w="140"/>
              <w:bottom w:type="dxa" w:w="100"/>
              <w:right w:type="dxa" w:w="140"/>
            </w:tcMar>
            <w:vAlign w:val="center"/>
          </w:tcPr>
          <w:p>
            <w:pPr>
              <w:spacing w:after="0" w:line="260"/>
            </w:pPr>
            <w:r>
              <w:rPr>
                <w:sz w:val="20"/>
                <w:szCs w:val="20"/>
              </w:rPr>
              <w:t xml:space="preserve">Company stamp (if used):</w:t>
            </w:r>
          </w:p>
        </w:tc>
      </w:tr>
    </w:tbl>
    <w:p>
      <w:pPr>
        <w:spacing w:after="260"/>
      </w:pPr>
    </w:p>
    <w:p>
      <w:pPr>
        <w:spacing w:after="140" w:before="200"/>
      </w:pPr>
      <w:r>
        <w:rPr>
          <w:b/>
          <w:bCs/>
          <w:color w:val="8A1C1C"/>
          <w:sz w:val="22"/>
          <w:szCs w:val="22"/>
        </w:rPr>
        <w:t xml:space="preserve">Notes for QuickInsight — delete this section before sending</w:t>
      </w:r>
    </w:p>
    <w:p>
      <w:pPr>
        <w:pStyle w:val="ListParagraph"/>
        <w:numPr>
          <w:ilvl w:val="0"/>
          <w:numId w:val="2"/>
        </w:numPr>
        <w:spacing w:after="110" w:line="276"/>
      </w:pPr>
      <w:r>
        <w:t xml:space="preserve">Do not fill in the results figures yourself. Ask the customer for them, and use their number even if it is lower than you hoped — a modest verified figure is evidence, an impressive invented one is not.</w:t>
      </w:r>
    </w:p>
    <w:p>
      <w:pPr>
        <w:pStyle w:val="ListParagraph"/>
        <w:numPr>
          <w:ilvl w:val="0"/>
          <w:numId w:val="2"/>
        </w:numPr>
        <w:spacing w:after="110" w:line="276"/>
      </w:pPr>
      <w:r>
        <w:t xml:space="preserve">If the customer cannot give a number, delete that row rather than estimating.</w:t>
      </w:r>
    </w:p>
    <w:p>
      <w:pPr>
        <w:pStyle w:val="ListParagraph"/>
        <w:numPr>
          <w:ilvl w:val="0"/>
          <w:numId w:val="2"/>
        </w:numPr>
        <w:spacing w:after="110" w:line="276"/>
      </w:pPr>
      <w:r>
        <w:t xml:space="preserve">One question gets you most of the results table: "Before QuickInsight, how often did you rebuild this and roughly how long did it take each time? And now?"</w:t>
      </w:r>
    </w:p>
    <w:p>
      <w:pPr>
        <w:pStyle w:val="ListParagraph"/>
        <w:numPr>
          <w:ilvl w:val="0"/>
          <w:numId w:val="2"/>
        </w:numPr>
        <w:spacing w:after="110" w:line="276"/>
      </w:pPr>
      <w:r>
        <w:t xml:space="preserve">The quote must be the customer’s own words. If they ask you to draft one, send it as a suggestion and let them rewrite it.</w:t>
      </w:r>
    </w:p>
    <w:p>
      <w:pPr>
        <w:pStyle w:val="ListParagraph"/>
        <w:numPr>
          <w:ilvl w:val="0"/>
          <w:numId w:val="2"/>
        </w:numPr>
        <w:spacing w:after="110" w:line="276"/>
      </w:pPr>
      <w:r>
        <w:t xml:space="preserve">Send as PDF once the placeholders are filled. Ask for a signed scan back, and keep the original.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2E"/>
      <w:sz w:val="26"/>
      <w:szCs w:val="26"/>
    </w:rPr>
  </w:style>
  <w:style w:type="paragraph" w:styleId="Heading2">
    <w:name w:val="Heading 2"/>
    <w:basedOn w:val="Normal"/>
    <w:next w:val="Normal"/>
    <w:qFormat/>
    <w:rPr>
      <w:rFonts w:ascii="Calibri" w:cs="Calibri" w:eastAsia="Calibri" w:hAnsi="Calibri"/>
      <w:b/>
      <w:bCs/>
      <w:color w:val="333344"/>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2026-08-02T22:49:50.941Z</dcterms:created>
  <dcterms:modified xsi:type="dcterms:W3CDTF">2026-08-02T22:49:50.941Z</dcterms:modified>
</cp:coreProperties>
</file>

<file path=docProps/custom.xml><?xml version="1.0" encoding="utf-8"?>
<Properties xmlns="http://schemas.openxmlformats.org/officeDocument/2006/custom-properties" xmlns:vt="http://schemas.openxmlformats.org/officeDocument/2006/docPropsVTypes"/>
</file>