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77"/>
          <w:sz w:val="20"/>
          <w:szCs w:val="20"/>
        </w:rPr>
        <w:t xml:space="preserve">CASE STUDY</w:t>
      </w:r>
    </w:p>
    <w:p>
      <w:pPr>
        <w:spacing w:after="80"/>
      </w:pPr>
      <w:r>
        <w:rPr>
          <w:b/>
          <w:bCs/>
          <w:color w:val="1A1A2E"/>
          <w:sz w:val="40"/>
          <w:szCs w:val="40"/>
        </w:rPr>
        <w:t xml:space="preserve">Nithyasystems</w:t>
      </w:r>
    </w:p>
    <w:p>
      <w:pPr>
        <w:spacing w:after="200"/>
      </w:pPr>
      <w:r>
        <w:rPr>
          <w:color w:val="444455"/>
          <w:sz w:val="24"/>
          <w:szCs w:val="24"/>
        </w:rPr>
        <w:t xml:space="preserve">Software development, process outsourcing and IT consulting · Texas, USA</w:t>
      </w:r>
    </w:p>
    <w:p>
      <w:pPr>
        <w:spacing w:after="200" w:line="300"/>
      </w:pPr>
      <w:r>
        <w:rPr>
          <w:color w:val="2A2A3E"/>
          <w:sz w:val="25"/>
          <w:szCs w:val="25"/>
        </w:rPr>
        <w:t xml:space="preserve">An IT services company with Power BI in place and one analyst to run it. The bottleneck was never the tooling — it was that every question, however small, had to go through the same person.</w:t>
      </w:r>
    </w:p>
    <w:p>
      <w:pPr>
        <w:pBdr>
          <w:bottom w:val="single" w:color="999999" w:sz="6" w:space="6"/>
        </w:pBdr>
        <w:spacing w:after="320"/>
      </w:pPr>
    </w:p>
    <w:p>
      <w:pPr>
        <w:pStyle w:val="Heading1"/>
        <w:spacing w:after="160" w:before="360"/>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Sector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Software development, process outsourcing and IT consulting</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Location</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Texas, USA</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Size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22 employees</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Using QuickInsight since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2 July 2026</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alongside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Power BI — retained for complex and governed reporting</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for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Quick ad-hoc sales analysis: daily and weekly sales, and week-, month- and year-to-date figures by product</w:t>
            </w:r>
          </w:p>
        </w:tc>
      </w:tr>
    </w:tbl>
    <w:p>
      <w:pPr>
        <w:pStyle w:val="Heading1"/>
        <w:spacing w:after="160" w:before="360"/>
      </w:pPr>
      <w:r>
        <w:t xml:space="preserve">A data company with a data bottleneck</w:t>
      </w:r>
    </w:p>
    <w:p>
      <w:pPr>
        <w:spacing w:after="180" w:line="288"/>
      </w:pPr>
      <w:r>
        <w:t xml:space="preserve">Nithyasystems provides software development, process outsourcing and IT consulting to businesses and government agencies across sectors including banking and finance, healthcare, education, retail and hospitality. Data work is what the company does for a living.</w:t>
      </w:r>
    </w:p>
    <w:p>
      <w:pPr>
        <w:spacing w:after="180" w:line="288"/>
      </w:pPr>
      <w:r>
        <w:t xml:space="preserve">Internally, its own reporting runs on Power BI, maintained by a single data analyst.</w:t>
      </w:r>
    </w:p>
    <w:p>
      <w:pPr>
        <w:spacing w:after="180" w:line="288"/>
      </w:pPr>
      <w:r>
        <w:t xml:space="preserve">That is a perfectly reasonable setup, and for the work Power BI is designed for it works well. The difficulty was never the platform. It was that one analyst had become the route through which every question had to travel.</w:t>
      </w:r>
    </w:p>
    <w:p>
      <w:pPr>
        <w:pStyle w:val="Heading1"/>
        <w:spacing w:after="160" w:before="360"/>
      </w:pPr>
      <w:r>
        <w:t xml:space="preserve">What Power BI is for, and what it is not</w:t>
      </w:r>
    </w:p>
    <w:p>
      <w:pPr>
        <w:spacing w:after="180" w:line="288"/>
      </w:pPr>
      <w:r>
        <w:t xml:space="preserve">Power BI is the right tool for governed, recurring, complex reporting — the reports that matter, that need to be consistent, and that people depend on. Nithyasystems continues to use it for exactly that, and has no intention of changing.</w:t>
      </w:r>
    </w:p>
    <w:p>
      <w:pPr>
        <w:spacing w:after="180" w:line="288"/>
      </w:pPr>
      <w:r>
        <w:t xml:space="preserve">The mismatch appears at the other end of the scale. Somebody wants to know what was sold today. Or this week. Or how a particular product is tracking month-to-date against year-to-date. These are small questions with short answers.</w:t>
      </w:r>
    </w:p>
    <w:p>
      <w:pPr>
        <w:spacing w:after="180" w:line="288"/>
      </w:pPr>
      <w:r>
        <w:t xml:space="preserve">Where an existing report already covers the question, it is answered in seconds. Where it does not — which is most of the time for a question nobody anticipated — answering it requires changes to the dataset, the model or the report logic, and someone who knows Power BI well enough to make them safely. For a question whose answer is a single number, the cost of asking exceeded the value of knowing.</w:t>
      </w:r>
    </w:p>
    <w:p>
      <w:pPr>
        <w:spacing w:after="180" w:line="288"/>
      </w:pPr>
      <w:r>
        <w:t xml:space="preserve">So the small questions either went into the analyst’s queue, or went unasked.</w:t>
      </w:r>
    </w:p>
    <w:p>
      <w:pPr>
        <w:pStyle w:val="Heading1"/>
        <w:spacing w:after="160" w:before="360"/>
      </w:pPr>
      <w:r>
        <w:t xml:space="preserve">One analyst, everyone’s questions</w:t>
      </w:r>
    </w:p>
    <w:p>
      <w:pPr>
        <w:spacing w:after="180" w:line="288"/>
      </w:pPr>
      <w:r>
        <w:t xml:space="preserve">The queue is the part that does the damage, and it is easy to miss because nothing about it looks broken.</w:t>
      </w:r>
    </w:p>
    <w:p>
      <w:pPr>
        <w:spacing w:after="180" w:line="288"/>
      </w:pPr>
      <w:r>
        <w:t xml:space="preserve">Trivial questions and genuinely important ones enter the same queue and are served in roughly the order they arrive. The analyst spends a meaningful part of the week producing figures that required no analytical judgement at all, while the work that genuinely needs their expertise waits behind it. Meanwhile the person who asked for today’s sales figure gets it once the analyst reaches them — by which point they have either moved on or made the decision without it.</w:t>
      </w:r>
    </w:p>
    <w:p>
      <w:pPr>
        <w:spacing w:after="180" w:line="288"/>
      </w:pPr>
      <w:r>
        <w:t xml:space="preserve">Hiring a second analyst would have helped, but it treats a routing problem as a capacity problem — the new analyst joins the same queue.</w:t>
      </w:r>
    </w:p>
    <w:p>
      <w:pPr>
        <w:spacing w:after="180" w:line="288"/>
      </w:pPr>
      <w:r>
        <w:t xml:space="preserve">Giving everyone a Power BI licence would not have helped either. The licence is not the barrier; the modelling knowledge is. Handing the tool to someone who does not have that knowledge produces either nothing or, worse, a confidently wrong number.</w:t>
      </w:r>
    </w:p>
    <w:p>
      <w:pPr>
        <w:pStyle w:val="Heading1"/>
        <w:spacing w:after="160" w:before="360"/>
      </w:pPr>
      <w:r>
        <w:t xml:space="preserve">What changed — a hybrid, not a replacement</w:t>
      </w:r>
    </w:p>
    <w:p>
      <w:pPr>
        <w:spacing w:after="180" w:line="288"/>
      </w:pPr>
      <w:r>
        <w:t xml:space="preserve">Nithyasystems began using QuickInsight in July 2026 alongside Power BI rather than instead of it. The two are used for different halves of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Power BI</w:t>
            </w:r>
          </w:p>
        </w:tc>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QuickInsight</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Governed, recurring reporting. Complex models. Anything the business depends on and needs to be consistent. Built and maintained by the analyst.</w:t>
            </w:r>
          </w:p>
        </w:tc>
        <w:tc>
          <w:tcPr>
            <w:tcW w:type="dxa" w:w="4513"/>
            <w:tcMar>
              <w:top w:type="dxa" w:w="100"/>
              <w:left w:type="dxa" w:w="140"/>
              <w:bottom w:type="dxa" w:w="100"/>
              <w:right w:type="dxa" w:w="140"/>
            </w:tcMar>
            <w:vAlign w:val="center"/>
          </w:tcPr>
          <w:p>
            <w:pPr>
              <w:spacing w:after="0" w:line="260"/>
            </w:pPr>
            <w:r>
              <w:rPr>
                <w:sz w:val="20"/>
                <w:szCs w:val="20"/>
              </w:rPr>
              <w:t xml:space="preserve">Quick ad-hoc questions. Exploration. Same-day answers. Used directly by the people who have the question.</w:t>
            </w:r>
          </w:p>
        </w:tc>
      </w:tr>
    </w:tbl>
    <w:p>
      <w:pPr>
        <w:spacing w:after="220"/>
      </w:pPr>
    </w:p>
    <w:p>
      <w:pPr>
        <w:spacing w:after="180" w:line="288"/>
      </w:pPr>
      <w:r>
        <w:t xml:space="preserve">The division is deliberate, and Nithyasystems is clear about where the line sits. QuickInsight is not used for statutory reporting, board reporting or executive dashboards. Those remain in Power BI, built and governed by the analyst, and there is no plan to move them.</w:t>
      </w:r>
    </w:p>
    <w:p>
      <w:pPr>
        <w:spacing w:after="180" w:line="288"/>
      </w:pPr>
      <w:r>
        <w:t xml:space="preserve">A spreadsheet export is loaded straight into the browser and cleaned automatically — date columns detected and standardised, additive and non-additive numbers distinguished, inconsistent category values tidied so the same product spelled two ways is counted once. There is no extract-transform-load step to build, no model to define, and nothing to install.</w:t>
      </w:r>
    </w:p>
    <w:p>
      <w:pPr>
        <w:spacing w:after="180" w:line="288"/>
      </w:pPr>
      <w:r>
        <w:t xml:space="preserve">Questions are then asked either through the guided question builder — choosing what to break the numbers down by, which figure to measure, which rows to include and how to order the result — or simply typed in plain English. The underlying query stays visible, which matters in a company where people know enough to want to check it.</w:t>
      </w:r>
    </w:p>
    <w:p>
      <w:pPr>
        <w:spacing w:after="180" w:line="288"/>
      </w:pPr>
      <w:r>
        <w:t xml:space="preserve">The questions it handles are the ones that were clogging the queue:</w:t>
      </w:r>
    </w:p>
    <w:p>
      <w:pPr>
        <w:pStyle w:val="ListParagraph"/>
        <w:numPr>
          <w:ilvl w:val="0"/>
          <w:numId w:val="2"/>
        </w:numPr>
        <w:spacing w:after="110" w:line="276"/>
      </w:pPr>
      <w:r>
        <w:t xml:space="preserve">Today’s sales, and this week’s</w:t>
      </w:r>
    </w:p>
    <w:p>
      <w:pPr>
        <w:pStyle w:val="ListParagraph"/>
        <w:numPr>
          <w:ilvl w:val="0"/>
          <w:numId w:val="2"/>
        </w:numPr>
        <w:spacing w:after="110" w:line="276"/>
      </w:pPr>
      <w:r>
        <w:t xml:space="preserve">Week-to-date, month-to-date and year-to-date sales by product</w:t>
      </w:r>
    </w:p>
    <w:p>
      <w:pPr>
        <w:pStyle w:val="ListParagraph"/>
        <w:numPr>
          <w:ilvl w:val="0"/>
          <w:numId w:val="2"/>
        </w:numPr>
        <w:spacing w:after="110" w:line="276"/>
      </w:pPr>
      <w:r>
        <w:t xml:space="preserve">Product-wise sales distribution breakdown</w:t>
      </w:r>
    </w:p>
    <w:p>
      <w:pPr>
        <w:pStyle w:val="ListParagraph"/>
        <w:numPr>
          <w:ilvl w:val="0"/>
          <w:numId w:val="2"/>
        </w:numPr>
        <w:spacing w:after="110" w:line="276"/>
      </w:pPr>
      <w:r>
        <w:t xml:space="preserve">This month against the same month last year, by product</w:t>
      </w:r>
    </w:p>
    <w:p>
      <w:pPr>
        <w:pStyle w:val="Heading1"/>
        <w:spacing w:after="160" w:before="360"/>
      </w:pPr>
      <w:r>
        <w:t xml:space="preserve">What the analyst got back</w:t>
      </w:r>
    </w:p>
    <w:p>
      <w:pPr>
        <w:spacing w:after="180" w:line="288"/>
      </w:pPr>
      <w:r>
        <w:t xml:space="preserve">The point of the change was not to produce figures faster, although it does. It was to take the questions that never needed an analyst out of the analyst’s queue.</w:t>
      </w:r>
    </w:p>
    <w:p>
      <w:pPr>
        <w:spacing w:after="180" w:line="288"/>
      </w:pPr>
      <w:r>
        <w:t xml:space="preserve">About ten hours of the analyst’s week were previously spent on ad-hoc requests. That time is now spent instead on developing more complex dashboards and maintaining the company’s data infrastructure — work that requires modelling judgement, governance and genuine analytical skill, and which now reaches the analyst without waiting behind a request for a daily sales total.</w:t>
      </w:r>
    </w:p>
    <w:p>
      <w:pPr>
        <w:pStyle w:val="Heading1"/>
        <w:spacing w:after="160" w:before="360"/>
      </w:pPr>
      <w:r>
        <w:t xml:space="preserve">Decisions made in the room</w:t>
      </w:r>
    </w:p>
    <w:p>
      <w:pPr>
        <w:spacing w:after="180" w:line="288"/>
      </w:pPr>
      <w:r>
        <w:t xml:space="preserve">The change showed up somewhere nobody had planned for: in meetings.</w:t>
      </w:r>
    </w:p>
    <w:p>
      <w:pPr>
        <w:spacing w:after="180" w:line="288"/>
      </w:pPr>
      <w:r>
        <w:t xml:space="preserve">During routine sales reviews, product-level performance can now be examined immediately, while the discussion is still happening, rather than being sent away as follow-up analysis to return later in the week. Meetings end with a decision made on current figures instead of an action deferred pending a report.</w:t>
      </w:r>
    </w:p>
    <w:p>
      <w:pPr>
        <w:spacing w:after="180" w:line="288"/>
      </w:pPr>
      <w:r>
        <w:rPr>
          <w:b/>
          <w:bCs/>
          <w:highlight w:val="yellow"/>
          <w:highlightCs w:val="yellow"/>
        </w:rPr>
        <w:t xml:space="preserve">[ONE REAL EXAMPLE FROM NITHYASYSTEMS — a specific occasion when this happened. Roughly: "During a sales review, a manager asked why a particular product had fallen behind the previous week. Rather than requesting a new report, the exported spreadsheet was opened in QuickInsight and the breakdown was on screen within minutes, and the discussion continued." Ask them for the actual occasion — do not use this wording as written, and delete this paragraph entirely if they cannot recall a specific one.]</w:t>
      </w:r>
    </w:p>
    <w:p>
      <w:pPr>
        <w:pStyle w:val="Heading1"/>
        <w:spacing w:after="160" w:before="360"/>
      </w:pPr>
      <w:r>
        <w:t xml:space="preserve">A note on the data itself</w:t>
      </w:r>
    </w:p>
    <w:p>
      <w:pPr>
        <w:spacing w:after="180" w:line="288"/>
      </w:pPr>
      <w:r>
        <w:t xml:space="preserve">Sales data by product and client is commercially sensitive, and as an IT services business Nithyasystems applies the same standards to its own information that it applies on behalf of its clients. Certain commercially sensitive figures have been withheld or anonymised in this document in accordance with internal confidentiality policies and contractual obligations to clients.</w:t>
      </w:r>
    </w:p>
    <w:p>
      <w:pPr>
        <w:spacing w:after="180" w:line="288"/>
      </w:pPr>
      <w:r>
        <w:t xml:space="preserve">QuickInsight does its work inside the web browser on the user’s own computer. The spreadsheet is never uploaded to a server at all. Where the plain-English question feature is used, only the structure of the data is sent — table names, column names and data types. No data values are sent unless the user explicitly switches that on, and even then anything resembling a name, an identifier, contact details or a sensitive category is excluded automatically, with the user able to switch off any remaining column or individual value first.</w:t>
      </w:r>
    </w:p>
    <w:p>
      <w:pPr>
        <w:spacing w:after="180" w:line="288"/>
      </w:pPr>
      <w:r>
        <w:t xml:space="preserve">Because the analysis happens locally and the data never leaves the machine, adopting the tool required no supplier security assessment and no decision about where company data would be stored.</w:t>
      </w:r>
    </w:p>
    <w:p>
      <w:pPr>
        <w:pStyle w:val="Heading1"/>
        <w:spacing w:after="160" w:before="360"/>
      </w:pPr>
      <w: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E8EAF0" w:color="auto" w:val="clear"/>
            <w:tcMar>
              <w:top w:type="dxa" w:w="100"/>
              <w:left w:type="dxa" w:w="140"/>
              <w:bottom w:type="dxa" w:w="100"/>
              <w:right w:type="dxa" w:w="140"/>
            </w:tcMar>
            <w:vAlign w:val="center"/>
          </w:tcPr>
          <w:p>
            <w:pPr>
              <w:spacing w:after="0" w:line="260"/>
            </w:pPr>
            <w:r>
              <w:rPr>
                <w:b/>
                <w:bCs/>
                <w:sz w:val="20"/>
                <w:szCs w:val="20"/>
              </w:rPr>
              <w:t xml:space="preserve">Measure</w:t>
            </w:r>
          </w:p>
        </w:tc>
        <w:tc>
          <w:tcPr>
            <w:tcW w:type="dxa" w:w="2400"/>
            <w:shd w:fill="E8EAF0" w:color="auto" w:val="clear"/>
            <w:tcMar>
              <w:top w:type="dxa" w:w="100"/>
              <w:left w:type="dxa" w:w="140"/>
              <w:bottom w:type="dxa" w:w="100"/>
              <w:right w:type="dxa" w:w="140"/>
            </w:tcMar>
            <w:vAlign w:val="center"/>
          </w:tcPr>
          <w:p>
            <w:pPr>
              <w:spacing w:after="0" w:line="260"/>
            </w:pPr>
            <w:r>
              <w:rPr>
                <w:b/>
                <w:bCs/>
                <w:sz w:val="20"/>
                <w:szCs w:val="20"/>
              </w:rPr>
              <w:t xml:space="preserve">Before</w:t>
            </w:r>
          </w:p>
        </w:tc>
        <w:tc>
          <w:tcPr>
            <w:tcW w:type="dxa" w:w="2426"/>
            <w:shd w:fill="E8EAF0" w:color="auto" w:val="clear"/>
            <w:tcMar>
              <w:top w:type="dxa" w:w="100"/>
              <w:left w:type="dxa" w:w="140"/>
              <w:bottom w:type="dxa" w:w="100"/>
              <w:right w:type="dxa" w:w="140"/>
            </w:tcMar>
            <w:vAlign w:val="center"/>
          </w:tcPr>
          <w:p>
            <w:pPr>
              <w:spacing w:after="0" w:line="260"/>
            </w:pPr>
            <w:r>
              <w:rPr>
                <w:b/>
                <w:bCs/>
                <w:sz w:val="20"/>
                <w:szCs w:val="20"/>
              </w:rPr>
              <w:t xml:space="preserve">After</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Wait for an ad-hoc sales figure</w:t>
            </w:r>
          </w:p>
        </w:tc>
        <w:tc>
          <w:tcPr>
            <w:tcW w:type="dxa" w:w="2400"/>
            <w:tcMar>
              <w:top w:type="dxa" w:w="100"/>
              <w:left w:type="dxa" w:w="140"/>
              <w:bottom w:type="dxa" w:w="100"/>
              <w:right w:type="dxa" w:w="140"/>
            </w:tcMar>
            <w:vAlign w:val="center"/>
          </w:tcPr>
          <w:p>
            <w:pPr>
              <w:spacing w:after="0" w:line="260"/>
            </w:pPr>
            <w:r>
              <w:rPr>
                <w:sz w:val="20"/>
                <w:szCs w:val="20"/>
              </w:rPr>
              <w:t xml:space="preserve">Days, depending on analyst availability</w:t>
            </w:r>
          </w:p>
        </w:tc>
        <w:tc>
          <w:tcPr>
            <w:tcW w:type="dxa" w:w="2426"/>
            <w:tcMar>
              <w:top w:type="dxa" w:w="100"/>
              <w:left w:type="dxa" w:w="140"/>
              <w:bottom w:type="dxa" w:w="100"/>
              <w:right w:type="dxa" w:w="140"/>
            </w:tcMar>
            <w:vAlign w:val="center"/>
          </w:tcPr>
          <w:p>
            <w:pPr>
              <w:spacing w:after="0" w:line="260"/>
            </w:pPr>
            <w:r>
              <w:rPr>
                <w:sz w:val="20"/>
                <w:szCs w:val="20"/>
              </w:rPr>
              <w:t xml:space="preserve">Minutes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Analyst time spent on ad-hoc requests</w:t>
            </w:r>
          </w:p>
        </w:tc>
        <w:tc>
          <w:tcPr>
            <w:tcW w:type="dxa" w:w="2400"/>
            <w:tcMar>
              <w:top w:type="dxa" w:w="100"/>
              <w:left w:type="dxa" w:w="140"/>
              <w:bottom w:type="dxa" w:w="100"/>
              <w:right w:type="dxa" w:w="140"/>
            </w:tcMar>
            <w:vAlign w:val="center"/>
          </w:tcPr>
          <w:p>
            <w:pPr>
              <w:spacing w:after="0" w:line="260"/>
            </w:pPr>
            <w:r>
              <w:rPr>
                <w:sz w:val="20"/>
                <w:szCs w:val="20"/>
              </w:rPr>
              <w:t xml:space="preserve">About 10 hours per week</w:t>
            </w:r>
          </w:p>
        </w:tc>
        <w:tc>
          <w:tcPr>
            <w:tcW w:type="dxa" w:w="2426"/>
            <w:tcMar>
              <w:top w:type="dxa" w:w="100"/>
              <w:left w:type="dxa" w:w="140"/>
              <w:bottom w:type="dxa" w:w="100"/>
              <w:right w:type="dxa" w:w="140"/>
            </w:tcMar>
            <w:vAlign w:val="center"/>
          </w:tcPr>
          <w:p>
            <w:pPr>
              <w:spacing w:after="0" w:line="260"/>
            </w:pPr>
            <w:r>
              <w:rPr>
                <w:sz w:val="20"/>
                <w:szCs w:val="20"/>
              </w:rPr>
              <w:t xml:space="preserve">Near zero for routine requests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People able to answer a basic sales question</w:t>
            </w:r>
          </w:p>
        </w:tc>
        <w:tc>
          <w:tcPr>
            <w:tcW w:type="dxa" w:w="2400"/>
            <w:tcMar>
              <w:top w:type="dxa" w:w="100"/>
              <w:left w:type="dxa" w:w="140"/>
              <w:bottom w:type="dxa" w:w="100"/>
              <w:right w:type="dxa" w:w="140"/>
            </w:tcMar>
            <w:vAlign w:val="center"/>
          </w:tcPr>
          <w:p>
            <w:pPr>
              <w:spacing w:after="0" w:line="260"/>
            </w:pPr>
            <w:r>
              <w:rPr>
                <w:sz w:val="20"/>
                <w:szCs w:val="20"/>
              </w:rPr>
              <w:t xml:space="preserve">1</w:t>
            </w:r>
          </w:p>
        </w:tc>
        <w:tc>
          <w:tcPr>
            <w:tcW w:type="dxa" w:w="2426"/>
            <w:tcMar>
              <w:top w:type="dxa" w:w="100"/>
              <w:left w:type="dxa" w:w="140"/>
              <w:bottom w:type="dxa" w:w="100"/>
              <w:right w:type="dxa" w:w="140"/>
            </w:tcMar>
            <w:vAlign w:val="center"/>
          </w:tcPr>
          <w:p>
            <w:pPr>
              <w:spacing w:after="0" w:line="260"/>
            </w:pPr>
            <w:r>
              <w:rPr>
                <w:sz w:val="20"/>
                <w:szCs w:val="20"/>
              </w:rPr>
              <w:t xml:space="preserve">Business users, directly</w:t>
            </w:r>
          </w:p>
        </w:tc>
      </w:tr>
    </w:tbl>
    <w:p>
      <w:pPr>
        <w:pStyle w:val="Heading1"/>
        <w:spacing w:after="160" w:before="360"/>
      </w:pPr>
      <w:r>
        <w:t xml:space="preserve">In their words</w:t>
      </w:r>
    </w:p>
    <w:p>
      <w:pPr>
        <w:pBdr>
          <w:left w:val="single" w:color="B0B4C0" w:sz="18" w:space="12"/>
        </w:pBdr>
        <w:spacing w:after="140" w:before="160" w:line="300"/>
        <w:ind w:left="480"/>
      </w:pPr>
      <w:r>
        <w:rPr>
          <w:i/>
          <w:iCs/>
          <w:color w:val="2A2A3E"/>
          <w:sz w:val="26"/>
          <w:szCs w:val="26"/>
        </w:rPr>
        <w:t xml:space="preserve">"QuickInsight hasn’t replaced Power BI for us — it has reduced the number of everyday questions reaching our analyst. Staff can answer routine sales questions themselves, while the analyst spends more time improving our reporting."</w:t>
      </w:r>
    </w:p>
    <w:p>
      <w:pPr>
        <w:spacing w:after="180" w:line="288"/>
        <w:ind w:left="480"/>
      </w:pPr>
      <w:r>
        <w:t xml:space="preserve">— </w:t>
      </w:r>
      <w:r>
        <w:rPr>
          <w:b/>
          <w:bCs/>
          <w:highlight w:val="yellow"/>
          <w:highlightCs w:val="yellow"/>
        </w:rPr>
        <w:t xml:space="preserve">[NAME]</w:t>
      </w:r>
      <w:r>
        <w:t xml:space="preserve">, </w:t>
      </w:r>
      <w:r>
        <w:rPr>
          <w:b/>
          <w:bCs/>
          <w:highlight w:val="yellow"/>
          <w:highlightCs w:val="yellow"/>
        </w:rPr>
        <w:t xml:space="preserve">[JOB TITLE]</w:t>
      </w:r>
      <w:r>
        <w:t xml:space="preserve">, Nithyasystems</w:t>
      </w:r>
    </w:p>
    <w:p>
      <w:r>
        <w:br w:type="page"/>
      </w:r>
    </w:p>
    <w:p>
      <w:pPr>
        <w:pStyle w:val="Heading1"/>
        <w:spacing w:after="160" w:before="360"/>
      </w:pPr>
      <w:r>
        <w:t xml:space="preserve">Approval</w:t>
      </w:r>
    </w:p>
    <w:p>
      <w:pPr>
        <w:spacing w:after="180" w:line="288"/>
      </w:pPr>
      <w:r>
        <w:t xml:space="preserve">I confirm that the statements and figures in this case study are accurate, and I authorise Nithyasystems to be named, and this document to be used, in QuickInsight’s marketing materials and in applications to funding bodies, awards and government schemes.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Nithyasystems</w:t>
            </w:r>
          </w:p>
        </w:tc>
        <w:tc>
          <w:tcPr>
            <w:tcW w:type="dxa" w:w="4513"/>
            <w:shd w:fill="E8EAF0" w:color="auto" w:val="clear"/>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Signature:</w:t>
            </w: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[FULL NAME]</w:t>
            </w:r>
          </w:p>
        </w:tc>
        <w:tc>
          <w:tcPr>
            <w:tcW w:type="dxa" w:w="4513"/>
            <w:tcMar>
              <w:top w:type="dxa" w:w="100"/>
              <w:left w:type="dxa" w:w="140"/>
              <w:bottom w:type="dxa" w:w="100"/>
              <w:right w:type="dxa" w:w="140"/>
            </w:tcMar>
            <w:vAlign w:val="center"/>
          </w:tcPr>
          <w:p>
            <w:pPr>
              <w:spacing w:after="0" w:line="260"/>
            </w:pPr>
            <w:r>
              <w:rPr>
                <w:sz w:val="20"/>
                <w:szCs w:val="20"/>
              </w:rPr>
              <w:t xml:space="preserve">Title:  </w:t>
            </w:r>
            <w:r>
              <w:rPr>
                <w:sz w:val="20"/>
                <w:szCs w:val="20"/>
                <w:highlight w:val="yellow"/>
                <w:highlightCs w:val="yellow"/>
              </w:rPr>
              <w:t xml:space="preserve">[JOB TITLE]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[EMAIL]</w:t>
            </w:r>
          </w:p>
        </w:tc>
        <w:tc>
          <w:tcPr>
            <w:tcW w:type="dxa" w:w="4513"/>
            <w:tcMar>
              <w:top w:type="dxa" w:w="100"/>
              <w:left w:type="dxa" w:w="140"/>
              <w:bottom w:type="dxa" w:w="100"/>
              <w:right w:type="dxa" w:w="140"/>
            </w:tcMar>
            <w:vAlign w:val="center"/>
          </w:tcPr>
          <w:p>
            <w:pPr>
              <w:spacing w:after="0" w:line="260"/>
            </w:pPr>
            <w:r>
              <w:rPr>
                <w:sz w:val="20"/>
                <w:szCs w:val="20"/>
              </w:rPr>
              <w:t xml:space="preserve">Phone:  </w:t>
            </w:r>
            <w:r>
              <w:rPr>
                <w:sz w:val="20"/>
                <w:szCs w:val="20"/>
                <w:highlight w:val="yellow"/>
                <w:highlightCs w:val="yellow"/>
              </w:rPr>
              <w:t xml:space="preserve">[PHONE]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Date:</w:t>
            </w:r>
          </w:p>
        </w:tc>
        <w:tc>
          <w:tcPr>
            <w:tcW w:type="dxa" w:w="4513"/>
            <w:tcMar>
              <w:top w:type="dxa" w:w="100"/>
              <w:left w:type="dxa" w:w="140"/>
              <w:bottom w:type="dxa" w:w="100"/>
              <w:right w:type="dxa" w:w="140"/>
            </w:tcMar>
            <w:vAlign w:val="center"/>
          </w:tcPr>
          <w:p>
            <w:pPr>
              <w:spacing w:after="0" w:line="260"/>
            </w:pPr>
            <w:r>
              <w:rPr>
                <w:sz w:val="20"/>
                <w:szCs w:val="20"/>
              </w:rPr>
              <w:t xml:space="preserve">Company stamp (if used):</w:t>
            </w:r>
          </w:p>
        </w:tc>
      </w:tr>
    </w:tbl>
    <w:p>
      <w:pPr>
        <w:spacing w:after="2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3334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2026-08-03T03:13:53.477Z</dcterms:created>
  <dcterms:modified xsi:type="dcterms:W3CDTF">2026-08-03T03:13:53.477Z</dcterms:modified>
</cp:coreProperties>
</file>

<file path=docProps/custom.xml><?xml version="1.0" encoding="utf-8"?>
<Properties xmlns="http://schemas.openxmlformats.org/officeDocument/2006/custom-properties" xmlns:vt="http://schemas.openxmlformats.org/officeDocument/2006/docPropsVTypes"/>
</file>