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66677"/>
          <w:sz w:val="20"/>
          <w:szCs w:val="20"/>
        </w:rPr>
        <w:t xml:space="preserve">CASE STUDY</w:t>
      </w:r>
    </w:p>
    <w:p>
      <w:pPr>
        <w:spacing w:after="80"/>
      </w:pPr>
      <w:r>
        <w:rPr>
          <w:b/>
          <w:bCs/>
          <w:color w:val="1A1A2E"/>
          <w:sz w:val="40"/>
          <w:szCs w:val="40"/>
        </w:rPr>
        <w:t xml:space="preserve">ClickNsend</w:t>
      </w:r>
    </w:p>
    <w:p>
      <w:pPr>
        <w:spacing w:after="200"/>
      </w:pPr>
      <w:r>
        <w:rPr>
          <w:color w:val="444455"/>
          <w:sz w:val="24"/>
          <w:szCs w:val="24"/>
        </w:rPr>
        <w:t xml:space="preserve">Logistics and parcel delivery · Aberdeen, United Kingdom</w:t>
      </w:r>
    </w:p>
    <w:p>
      <w:pPr>
        <w:spacing w:after="200" w:line="300"/>
      </w:pPr>
      <w:r>
        <w:rPr>
          <w:color w:val="2A2A3E"/>
          <w:sz w:val="25"/>
          <w:szCs w:val="25"/>
        </w:rPr>
        <w:t xml:space="preserve">A ten-person parcel company was spending around ten hours a week turning depot spreadsheets into figures by hand. Hiring an analyst was never on the table. This is what they did instead.</w:t>
      </w:r>
    </w:p>
    <w:p>
      <w:pPr>
        <w:pBdr>
          <w:bottom w:val="single" w:color="999999" w:sz="6" w:space="6"/>
        </w:pBdr>
        <w:spacing w:after="320"/>
      </w:pPr>
    </w:p>
    <w:p>
      <w:pPr>
        <w:pBdr>
          <w:bottom w:val="single" w:color="999999" w:sz="6" w:space="6"/>
        </w:pBdr>
        <w:spacing w:after="320"/>
      </w:pPr>
      <w:r>
        <w:rPr>
          <w:i/>
          <w:iCs/>
          <w:color w:val="8A1C1C"/>
          <w:sz w:val="20"/>
          <w:szCs w:val="20"/>
        </w:rPr>
        <w:t xml:space="preserve">DRAFT FOR APPROVAL — NOT YET VERIFIED. Every highlighted field must be completed and confirmed by ClickNsend. This document must not be published, submitted to any third party, or used as evidence until ClickNsend has approved it in writing using the sign-off block on the last page.</w:t>
      </w:r>
    </w:p>
    <w:p>
      <w:pPr>
        <w:pStyle w:val="Heading1"/>
        <w:spacing w:after="160" w:before="360"/>
      </w:pPr>
      <w:r>
        <w:t xml:space="preserve">At a glance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Sector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Logistics and parcel delivery</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Location</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Aberdeen, United Kingdom</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Size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10 employees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Using QuickInsight since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2 July 2026</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Used for</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Parcel volume tracking and delivery performance analysis</w:t>
            </w:r>
          </w:p>
        </w:tc>
      </w:tr>
      <w:tr>
        <w:trPr>
          <w:tblHeader w:val="false"/>
        </w:trPr>
        <w:tc>
          <w:tcPr>
            <w:tcW w:type="dxa" w:w="2600"/>
            <w:tcMar>
              <w:top w:type="dxa" w:w="100"/>
              <w:left w:type="dxa" w:w="140"/>
              <w:bottom w:type="dxa" w:w="100"/>
              <w:right w:type="dxa" w:w="140"/>
            </w:tcMar>
            <w:vAlign w:val="center"/>
          </w:tcPr>
          <w:p>
            <w:pPr>
              <w:spacing w:after="0" w:line="260"/>
            </w:pPr>
            <w:r>
              <w:rPr>
                <w:b/>
                <w:bCs/>
                <w:sz w:val="20"/>
                <w:szCs w:val="20"/>
              </w:rPr>
              <w:t xml:space="preserve">Data source</w:t>
            </w:r>
          </w:p>
        </w:tc>
        <w:tc>
          <w:tcPr>
            <w:tcW w:type="dxa" w:w="6426"/>
            <w:tcMar>
              <w:top w:type="dxa" w:w="100"/>
              <w:left w:type="dxa" w:w="140"/>
              <w:bottom w:type="dxa" w:w="100"/>
              <w:right w:type="dxa" w:w="140"/>
            </w:tcMar>
            <w:vAlign w:val="center"/>
          </w:tcPr>
          <w:p>
            <w:pPr>
              <w:spacing w:after="0" w:line="260"/>
            </w:pPr>
            <w:r>
              <w:rPr>
                <w:b w:val="false"/>
                <w:bCs w:val="false"/>
                <w:sz w:val="20"/>
                <w:szCs w:val="20"/>
              </w:rPr>
              <w:t xml:space="preserve">Daily manifest exports from the courier platform, as Excel files</w:t>
            </w:r>
          </w:p>
        </w:tc>
      </w:tr>
    </w:tbl>
    <w:p>
      <w:pPr>
        <w:pStyle w:val="Heading1"/>
        <w:spacing w:after="160" w:before="360"/>
      </w:pPr>
      <w:r>
        <w:t xml:space="preserve">Ten people, no data team</w:t>
      </w:r>
    </w:p>
    <w:p>
      <w:pPr>
        <w:spacing w:after="180" w:line="288"/>
      </w:pPr>
      <w:r>
        <w:t xml:space="preserve">ClickNsend is a parcel and logistics business in Aberdeen with ten employees. Like most companies its size, it produces a great deal of operational data without having anyone whose job is to make sense of it.</w:t>
      </w:r>
    </w:p>
    <w:p>
      <w:pPr>
        <w:spacing w:after="180" w:line="288"/>
      </w:pPr>
      <w:r>
        <w:t xml:space="preserve">The data itself was never the problem. Manifest exports came out of the courier management system reliably — a spreadsheet per depot, per week. The problem was that turning those spreadsheets into an answer took a person, and the only person available was the operations manager, whose actual job is running operations.</w:t>
      </w:r>
    </w:p>
    <w:p>
      <w:pPr>
        <w:pStyle w:val="Heading1"/>
        <w:spacing w:after="160" w:before="360"/>
      </w:pPr>
      <w:r>
        <w:t xml:space="preserve">What the week looked like</w:t>
      </w:r>
    </w:p>
    <w:p>
      <w:pPr>
        <w:spacing w:after="180" w:line="288"/>
      </w:pPr>
      <w:r>
        <w:t xml:space="preserve">Reporting was built in Excel using pivot tables, rebuilt from scratch each time somebody asked for a figure. Producing a single view of parcel volumes broken down by worker took around ten hours a week — a quarter of someone’s working time spent on spreadsheet mechanics rather than on the operation.</w:t>
      </w:r>
    </w:p>
    <w:p>
      <w:pPr>
        <w:spacing w:after="180" w:line="288"/>
      </w:pPr>
      <w:r>
        <w:t xml:space="preserve">Three things made it slower than it should have been:</w:t>
      </w:r>
    </w:p>
    <w:p>
      <w:pPr>
        <w:pStyle w:val="ListParagraph"/>
        <w:numPr>
          <w:ilvl w:val="0"/>
          <w:numId w:val="2"/>
        </w:numPr>
        <w:spacing w:after="110" w:line="276"/>
      </w:pPr>
      <w:r>
        <w:t xml:space="preserve">Date and status columns came out of the system in inconsistent formats and had to be cleaned by hand every time.</w:t>
      </w:r>
    </w:p>
    <w:p>
      <w:pPr>
        <w:pStyle w:val="ListParagraph"/>
        <w:numPr>
          <w:ilvl w:val="0"/>
          <w:numId w:val="2"/>
        </w:numPr>
        <w:spacing w:after="110" w:line="276"/>
      </w:pPr>
      <w:r>
        <w:t xml:space="preserve">Combining depots meant copying sheets together manually, which introduced errors.</w:t>
      </w:r>
    </w:p>
    <w:p>
      <w:pPr>
        <w:pStyle w:val="ListParagraph"/>
        <w:numPr>
          <w:ilvl w:val="0"/>
          <w:numId w:val="2"/>
        </w:numPr>
        <w:spacing w:after="110" w:line="276"/>
      </w:pPr>
      <w:r>
        <w:t xml:space="preserve">Only one person understood how the pivot tables were constructed, so reporting stopped when they were away.</w:t>
      </w:r>
    </w:p>
    <w:p>
      <w:pPr>
        <w:spacing w:after="180" w:line="288"/>
      </w:pPr>
      <w:r>
        <w:t xml:space="preserve">That last point is the one that tends to go unnoticed until it bites. The reporting was not just slow; it was a single point of failure sitting inside one person’s spreadsheet.</w:t>
      </w:r>
    </w:p>
    <w:p>
      <w:pPr>
        <w:pStyle w:val="Heading1"/>
        <w:spacing w:after="160" w:before="360"/>
      </w:pPr>
      <w:r>
        <w:t xml:space="preserve">Why the usual answers did not fit</w:t>
      </w:r>
    </w:p>
    <w:p>
      <w:pPr>
        <w:spacing w:after="180" w:line="288"/>
      </w:pPr>
      <w:r>
        <w:t xml:space="preserve">The obvious solution is to hire someone. A data analyst would have taken the reporting off the operations manager’s desk entirely. But a salaried analyst was never realistic for a business of ClickNsend’s size — the cost of the role would have been out of proportion to the problem it solved. </w:t>
      </w:r>
      <w:r>
        <w:rPr>
          <w:b/>
          <w:bCs/>
          <w:highlight w:val="yellow"/>
          <w:highlightCs w:val="yellow"/>
        </w:rPr>
        <w:t xml:space="preserve">[ADD CLICKNSEND’S OWN WORDS ON WHY HIRING WAS NOT AN OPTION, IF THEY ARE WILLING TO GIVE THEM.]</w:t>
      </w:r>
    </w:p>
    <w:p>
      <w:pPr>
        <w:spacing w:after="180" w:line="288"/>
      </w:pPr>
      <w:r>
        <w:t xml:space="preserve">The second obvious solution is a business intelligence tool. On paper these solve exactly this problem. In practice they move the difficulty rather than removing it: before a chart appears, someone has to connect the data, define how tables relate to each other, and build a model. That is analyst work. Buying the software does not supply the person who knows how to use it, and for a small team the licence cost arrives on top of a learning curve nobody has time for.</w:t>
      </w:r>
    </w:p>
    <w:p>
      <w:pPr>
        <w:spacing w:after="180" w:line="288"/>
      </w:pPr>
      <w:r>
        <w:t xml:space="preserve">Outsourcing to a consultant was considered as a middle path, but it fits scheduled reports rather than the way questions actually arrive in a small business — someone asks something on a Tuesday afternoon and wants the answer before the end of the day. </w:t>
      </w:r>
      <w:r>
        <w:rPr>
          <w:b/>
          <w:bCs/>
          <w:highlight w:val="yellow"/>
          <w:highlightCs w:val="yellow"/>
        </w:rPr>
        <w:t xml:space="preserve">[CONFIRM OR REPLACE WITH WHAT CLICKNSEND ACTUALLY CONSIDERED.]</w:t>
      </w:r>
    </w:p>
    <w:p>
      <w:pPr>
        <w:spacing w:after="180" w:line="288"/>
      </w:pPr>
      <w:r>
        <w:t xml:space="preserve">So the work stayed where it was — with the operations manager, in Excel, done by hand.</w:t>
      </w:r>
    </w:p>
    <w:p>
      <w:pPr>
        <w:pStyle w:val="Heading1"/>
        <w:spacing w:after="160" w:before="360"/>
      </w:pPr>
      <w:r>
        <w:t xml:space="preserve">What changed</w:t>
      </w:r>
    </w:p>
    <w:p>
      <w:pPr>
        <w:spacing w:after="180" w:line="288"/>
      </w:pPr>
      <w:r>
        <w:t xml:space="preserve">ClickNsend started using QuickInsight in </w:t>
      </w:r>
      <w:r>
        <w:rPr>
          <w:b/>
          <w:bCs/>
          <w:highlight w:val="yellow"/>
          <w:highlightCs w:val="yellow"/>
        </w:rPr>
        <w:t xml:space="preserve">[MONTH YEAR]</w:t>
      </w:r>
      <w:r>
        <w:t xml:space="preserve">. It is a browser-based analysis tool built for people who work with spreadsheets rather than for data specialists.</w:t>
      </w:r>
    </w:p>
    <w:p>
      <w:pPr>
        <w:spacing w:after="180" w:line="288"/>
      </w:pPr>
      <w:r>
        <w:t xml:space="preserve">The manifest export is loaded straight into the browser — the same Excel file that came out of the courier system, with no preparation step. Nothing is installed and nothing is configured first.</w:t>
      </w:r>
    </w:p>
    <w:p>
      <w:pPr>
        <w:spacing w:after="180" w:line="288"/>
      </w:pPr>
      <w:r>
        <w:t xml:space="preserve">The cleaning that used to be done by hand happens automatically when the file loads. QuickInsight reads the spreadsheet, works out which columns are dates and standardises their formats, identifies which numbers can meaningfully be added up and which cannot, tidies inconsistent category values so that the same thing spelled two ways is counted once, and flags columns that hold personal information. None of this requires a decision from the user.</w:t>
      </w:r>
    </w:p>
    <w:p>
      <w:pPr>
        <w:spacing w:after="180" w:line="288"/>
      </w:pPr>
      <w:r>
        <w:t xml:space="preserve">Questions are then asked in one of two ways. The guided question builder works by choosing what to break the numbers down by, which figure to measure, which rows to include and how to order the result — the four things every business question is made of. Alternatively the question can simply be typed in plain English. Either way a chart or table appears, with the underlying query visible for anyone who wants to check it.</w:t>
      </w:r>
    </w:p>
    <w:p>
      <w:pPr>
        <w:spacing w:after="180" w:line="288"/>
      </w:pPr>
      <w:r>
        <w:t xml:space="preserve">The operations team now asks questions such as:</w:t>
      </w:r>
    </w:p>
    <w:p>
      <w:pPr>
        <w:pStyle w:val="ListParagraph"/>
        <w:numPr>
          <w:ilvl w:val="0"/>
          <w:numId w:val="2"/>
        </w:numPr>
        <w:spacing w:after="110" w:line="276"/>
      </w:pPr>
      <w:r>
        <w:rPr>
          <w:b/>
          <w:bCs/>
          <w:highlight w:val="yellow"/>
          <w:highlightCs w:val="yellow"/>
        </w:rPr>
        <w:t xml:space="preserve">[QUESTION 1 — e.g. parcel volume by depot, by week]</w:t>
      </w:r>
    </w:p>
    <w:p>
      <w:pPr>
        <w:pStyle w:val="ListParagraph"/>
        <w:numPr>
          <w:ilvl w:val="0"/>
          <w:numId w:val="2"/>
        </w:numPr>
        <w:spacing w:after="110" w:line="276"/>
      </w:pPr>
      <w:r>
        <w:rPr>
          <w:b/>
          <w:bCs/>
          <w:highlight w:val="yellow"/>
          <w:highlightCs w:val="yellow"/>
        </w:rPr>
        <w:t xml:space="preserve">[QUESTION 2 — e.g. failed delivery rate by postcode area]</w:t>
      </w:r>
    </w:p>
    <w:p>
      <w:pPr>
        <w:pStyle w:val="ListParagraph"/>
        <w:numPr>
          <w:ilvl w:val="0"/>
          <w:numId w:val="2"/>
        </w:numPr>
        <w:spacing w:after="110" w:line="276"/>
      </w:pPr>
      <w:r>
        <w:rPr>
          <w:b/>
          <w:bCs/>
          <w:highlight w:val="yellow"/>
          <w:highlightCs w:val="yellow"/>
        </w:rPr>
        <w:t xml:space="preserve">[QUESTION 3 — e.g. average parcels per driver per day, ranked highest first]</w:t>
      </w:r>
    </w:p>
    <w:p>
      <w:pPr>
        <w:pStyle w:val="ListParagraph"/>
        <w:numPr>
          <w:ilvl w:val="0"/>
          <w:numId w:val="2"/>
        </w:numPr>
        <w:spacing w:after="110" w:line="276"/>
      </w:pPr>
      <w:r>
        <w:rPr>
          <w:b/>
          <w:bCs/>
          <w:highlight w:val="yellow"/>
          <w:highlightCs w:val="yellow"/>
        </w:rPr>
        <w:t xml:space="preserve">[QUESTION 4 — e.g. week-on-week change in volume by service tier]</w:t>
      </w:r>
    </w:p>
    <w:p>
      <w:pPr>
        <w:spacing w:after="180" w:line="288"/>
      </w:pPr>
      <w:r>
        <w:t xml:space="preserve">The answers that get asked for repeatedly are saved to a dashboard, so the next time the question comes up it does not need rebuilding at all. </w:t>
      </w:r>
      <w:r>
        <w:rPr>
          <w:b/>
          <w:bCs/>
          <w:highlight w:val="yellow"/>
          <w:highlightCs w:val="yellow"/>
        </w:rPr>
        <w:t xml:space="preserve">[WHO]</w:t>
      </w:r>
      <w:r>
        <w:t xml:space="preserve"> reviews it </w:t>
      </w:r>
      <w:r>
        <w:rPr>
          <w:b/>
          <w:bCs/>
          <w:highlight w:val="yellow"/>
          <w:highlightCs w:val="yellow"/>
        </w:rPr>
        <w:t xml:space="preserve">[HOW OFTEN]</w:t>
      </w:r>
      <w:r>
        <w:t xml:space="preserve">.</w:t>
      </w:r>
    </w:p>
    <w:p>
      <w:pPr>
        <w:pStyle w:val="Heading1"/>
        <w:spacing w:after="160" w:before="360"/>
      </w:pPr>
      <w:r>
        <w:t xml:space="preserve">A note on the data itself</w:t>
      </w:r>
    </w:p>
    <w:p>
      <w:pPr>
        <w:spacing w:after="180" w:line="288"/>
      </w:pPr>
      <w:r>
        <w:t xml:space="preserve">Parcel manifests contain recipient names, delivery addresses and contact telephone numbers — the personal data of every person ClickNsend delivers to.</w:t>
      </w:r>
    </w:p>
    <w:p>
      <w:pPr>
        <w:spacing w:after="180" w:line="288"/>
      </w:pPr>
      <w:r>
        <w:t xml:space="preserve">This turned out to matter more than expected. QuickInsight does its work inside the web browser on the user’s own computer — the spreadsheet is never uploaded to a server. Where the plain-English question feature is used, only the structure of the data is sent: table names, column names and data types. No data values are sent unless the user explicitly switches that on, and even then anything resembling a name, an identifier, contact details or a sensitive category is excluded automatically, with the user able to switch off any remaining column or individual value first.</w:t>
      </w:r>
    </w:p>
    <w:p>
      <w:pPr>
        <w:spacing w:after="180" w:line="288"/>
      </w:pPr>
      <w:r>
        <w:t xml:space="preserve">The practical effect is that adopting the tool required no data protection review, no supplier security assessment, and no conversation about where the data would be stored. </w:t>
      </w:r>
      <w:r>
        <w:rPr>
          <w:b/>
          <w:bCs/>
          <w:highlight w:val="yellow"/>
          <w:highlightCs w:val="yellow"/>
        </w:rPr>
        <w:t xml:space="preserve">[CONFIRM THIS IS ACCURATE FOR THIS CUSTOMER — DELETE IF A REVIEW WAS IN FACT CARRIED OUT, OR REPLACE WITH WHAT THEY DID.]</w:t>
      </w:r>
    </w:p>
    <w:p>
      <w:pPr>
        <w:pStyle w:val="Heading1"/>
        <w:spacing w:after="160" w:before="360"/>
      </w:pPr>
      <w:r>
        <w:t xml:space="preserve">Results</w:t>
      </w:r>
    </w:p>
    <w:p>
      <w:pPr>
        <w:spacing w:after="180" w:line="288"/>
      </w:pPr>
      <w:r>
        <w:rPr>
          <w:b/>
          <w:bCs/>
          <w:highlight w:val="yellow"/>
          <w:highlightCs w:val="yellow"/>
        </w:rPr>
        <w:t xml:space="preserve">[ClickNsend to complete. Use only figures ClickNsend can stand behind. Delete any row that cannot be evidenced.]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426"/>
      </w:tblGrid>
      <w:tr>
        <w:trPr>
          <w:tblHeader/>
        </w:trPr>
        <w:tc>
          <w:tcPr>
            <w:tcW w:type="dxa" w:w="4200"/>
            <w:shd w:fill="E8EAF0" w:color="auto" w:val="clear"/>
            <w:tcMar>
              <w:top w:type="dxa" w:w="100"/>
              <w:left w:type="dxa" w:w="140"/>
              <w:bottom w:type="dxa" w:w="100"/>
              <w:right w:type="dxa" w:w="140"/>
            </w:tcMar>
            <w:vAlign w:val="center"/>
          </w:tcPr>
          <w:p>
            <w:pPr>
              <w:spacing w:after="0" w:line="260"/>
            </w:pPr>
            <w:r>
              <w:rPr>
                <w:b/>
                <w:bCs/>
                <w:sz w:val="20"/>
                <w:szCs w:val="20"/>
              </w:rPr>
              <w:t xml:space="preserve">Measure</w:t>
            </w:r>
          </w:p>
        </w:tc>
        <w:tc>
          <w:tcPr>
            <w:tcW w:type="dxa" w:w="2400"/>
            <w:shd w:fill="E8EAF0" w:color="auto" w:val="clear"/>
            <w:tcMar>
              <w:top w:type="dxa" w:w="100"/>
              <w:left w:type="dxa" w:w="140"/>
              <w:bottom w:type="dxa" w:w="100"/>
              <w:right w:type="dxa" w:w="140"/>
            </w:tcMar>
            <w:vAlign w:val="center"/>
          </w:tcPr>
          <w:p>
            <w:pPr>
              <w:spacing w:after="0" w:line="260"/>
            </w:pPr>
            <w:r>
              <w:rPr>
                <w:b/>
                <w:bCs/>
                <w:sz w:val="20"/>
                <w:szCs w:val="20"/>
              </w:rPr>
              <w:t xml:space="preserve">Before</w:t>
            </w:r>
          </w:p>
        </w:tc>
        <w:tc>
          <w:tcPr>
            <w:tcW w:type="dxa" w:w="2426"/>
            <w:shd w:fill="E8EAF0" w:color="auto" w:val="clear"/>
            <w:tcMar>
              <w:top w:type="dxa" w:w="100"/>
              <w:left w:type="dxa" w:w="140"/>
              <w:bottom w:type="dxa" w:w="100"/>
              <w:right w:type="dxa" w:w="140"/>
            </w:tcMar>
            <w:vAlign w:val="center"/>
          </w:tcPr>
          <w:p>
            <w:pPr>
              <w:spacing w:after="0" w:line="260"/>
            </w:pPr>
            <w:r>
              <w:rPr>
                <w:b/>
                <w:bCs/>
                <w:sz w:val="20"/>
                <w:szCs w:val="20"/>
              </w:rPr>
              <w:t xml:space="preserve">After</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Time spent on parcel volume reporting</w:t>
            </w:r>
          </w:p>
        </w:tc>
        <w:tc>
          <w:tcPr>
            <w:tcW w:type="dxa" w:w="2400"/>
            <w:tcMar>
              <w:top w:type="dxa" w:w="100"/>
              <w:left w:type="dxa" w:w="140"/>
              <w:bottom w:type="dxa" w:w="100"/>
              <w:right w:type="dxa" w:w="140"/>
            </w:tcMar>
            <w:vAlign w:val="center"/>
          </w:tcPr>
          <w:p>
            <w:pPr>
              <w:spacing w:after="0" w:line="260"/>
            </w:pPr>
            <w:r>
              <w:rPr>
                <w:sz w:val="20"/>
                <w:szCs w:val="20"/>
              </w:rPr>
              <w:t xml:space="preserve">10 hours per week</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r>
              <w:rPr>
                <w:sz w:val="20"/>
                <w:szCs w:val="20"/>
              </w:rPr>
              <w:t xml:space="preserve"> </w:t>
            </w:r>
            <w:r>
              <w:rPr>
                <w:sz w:val="20"/>
                <w:szCs w:val="20"/>
                <w:highlight w:val="yellow"/>
                <w:highlightCs w:val="yellow"/>
              </w:rPr>
              <w:t xml:space="preserve">[minutes / hours]</w:t>
            </w:r>
            <w:r>
              <w:rPr>
                <w:sz w:val="20"/>
                <w:szCs w:val="20"/>
              </w:rPr>
              <w:t xml:space="preserve"> per week</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People able to produce the figures</w:t>
            </w:r>
          </w:p>
        </w:tc>
        <w:tc>
          <w:tcPr>
            <w:tcW w:type="dxa" w:w="2400"/>
            <w:tcMar>
              <w:top w:type="dxa" w:w="100"/>
              <w:left w:type="dxa" w:w="140"/>
              <w:bottom w:type="dxa" w:w="100"/>
              <w:right w:type="dxa" w:w="140"/>
            </w:tcMar>
            <w:vAlign w:val="center"/>
          </w:tcPr>
          <w:p>
            <w:pPr>
              <w:spacing w:after="0" w:line="260"/>
            </w:pPr>
            <w:r>
              <w:rPr>
                <w:sz w:val="20"/>
                <w:szCs w:val="20"/>
              </w:rPr>
              <w:t xml:space="preserve">1</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[N]</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rPr>
              <w:t xml:space="preserve">Wait for an ad-hoc question to be answered</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[e.g. next day]</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[e.g. minutes]</w:t>
            </w:r>
          </w:p>
        </w:tc>
      </w:tr>
      <w:tr>
        <w:trPr>
          <w:tblHeader w:val="false"/>
        </w:trPr>
        <w:tc>
          <w:tcPr>
            <w:tcW w:type="dxa" w:w="4200"/>
            <w:tcMar>
              <w:top w:type="dxa" w:w="100"/>
              <w:left w:type="dxa" w:w="140"/>
              <w:bottom w:type="dxa" w:w="100"/>
              <w:right w:type="dxa" w:w="140"/>
            </w:tcMar>
            <w:vAlign w:val="center"/>
          </w:tcPr>
          <w:p>
            <w:pPr>
              <w:spacing w:after="0" w:line="260"/>
            </w:pPr>
            <w:r>
              <w:rPr>
                <w:sz w:val="20"/>
                <w:szCs w:val="20"/>
                <w:highlight w:val="yellow"/>
                <w:highlightCs w:val="yellow"/>
              </w:rPr>
              <w:t xml:space="preserve">[OTHER MEASURE]</w:t>
            </w:r>
          </w:p>
        </w:tc>
        <w:tc>
          <w:tcPr>
            <w:tcW w:type="dxa" w:w="2400"/>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c>
          <w:tcPr>
            <w:tcW w:type="dxa" w:w="2426"/>
            <w:tcMar>
              <w:top w:type="dxa" w:w="100"/>
              <w:left w:type="dxa" w:w="140"/>
              <w:bottom w:type="dxa" w:w="100"/>
              <w:right w:type="dxa" w:w="140"/>
            </w:tcMar>
            <w:vAlign w:val="center"/>
          </w:tcPr>
          <w:p>
            <w:pPr>
              <w:spacing w:after="0" w:line="260"/>
            </w:pPr>
            <w:r>
              <w:rPr>
                <w:sz w:val="20"/>
                <w:szCs w:val="20"/>
                <w:highlight w:val="yellow"/>
                <w:highlightCs w:val="yellow"/>
              </w:rPr>
              <w:t xml:space="preserve">[VALUE]</w:t>
            </w:r>
          </w:p>
        </w:tc>
      </w:tr>
    </w:tbl>
    <w:p>
      <w:pPr>
        <w:spacing w:after="200"/>
      </w:pPr>
    </w:p>
    <w:p>
      <w:pPr>
        <w:spacing w:after="180" w:line="288"/>
      </w:pPr>
      <w:r>
        <w:rPr>
          <w:b/>
          <w:bCs/>
          <w:highlight w:val="yellow"/>
          <w:highlightCs w:val="yellow"/>
        </w:rPr>
        <w:t xml:space="preserve">[ADD ANY OUTCOME THAT IS NOT A TIME SAVING — something the analysis showed that was not known before, or a decision made differently as a result. A specific incident is more persuasive than an average.]</w:t>
      </w:r>
    </w:p>
    <w:p>
      <w:pPr>
        <w:pStyle w:val="Heading1"/>
        <w:spacing w:after="160" w:before="360"/>
      </w:pPr>
      <w:r>
        <w:t xml:space="preserve">In their words</w:t>
      </w:r>
    </w:p>
    <w:p>
      <w:pPr>
        <w:pBdr>
          <w:left w:val="single" w:color="B0B4C0" w:sz="18" w:space="12"/>
        </w:pBdr>
        <w:spacing w:after="140" w:before="160" w:line="300"/>
        <w:ind w:left="480"/>
      </w:pPr>
      <w:r>
        <w:rPr>
          <w:i/>
          <w:iCs/>
          <w:color w:val="2A2A3E"/>
          <w:sz w:val="26"/>
          <w:szCs w:val="26"/>
        </w:rPr>
        <w:t xml:space="preserve">"[QUOTE — the customer’s own words. What the week looks like now compared with before, and what they would say to another small business in the same position.]"</w:t>
      </w:r>
    </w:p>
    <w:p>
      <w:pPr>
        <w:spacing w:after="180" w:line="288"/>
        <w:ind w:left="480"/>
      </w:pPr>
      <w:r>
        <w:t xml:space="preserve">— </w:t>
      </w:r>
      <w:r>
        <w:rPr>
          <w:b/>
          <w:bCs/>
          <w:highlight w:val="yellow"/>
          <w:highlightCs w:val="yellow"/>
        </w:rPr>
        <w:t xml:space="preserve">[NAME]</w:t>
      </w:r>
      <w:r>
        <w:t xml:space="preserve">, </w:t>
      </w:r>
      <w:r>
        <w:rPr>
          <w:b/>
          <w:bCs/>
          <w:highlight w:val="yellow"/>
          <w:highlightCs w:val="yellow"/>
        </w:rPr>
        <w:t xml:space="preserve">[JOB TITLE]</w:t>
      </w:r>
      <w:r>
        <w:t xml:space="preserve">, ClickNsend</w:t>
      </w:r>
    </w:p>
    <w:p>
      <w:r>
        <w:br w:type="page"/>
      </w:r>
    </w:p>
    <w:p>
      <w:pPr>
        <w:pStyle w:val="Heading1"/>
        <w:spacing w:after="160" w:before="360"/>
      </w:pPr>
      <w:r>
        <w:t xml:space="preserve">Approval</w:t>
      </w:r>
    </w:p>
    <w:p>
      <w:pPr>
        <w:spacing w:after="180" w:line="288"/>
      </w:pPr>
      <w:r>
        <w:t xml:space="preserve">I confirm that the statements and figures in this case study are accurate, and I authorise ClickNsend to be named, and this document to be used, in QuickInsight’s marketing materials and in applications to funding bodies, awards and government schemes.</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E8EAF0" w:color="auto" w:val="clear"/>
            <w:tcMar>
              <w:top w:type="dxa" w:w="100"/>
              <w:left w:type="dxa" w:w="140"/>
              <w:bottom w:type="dxa" w:w="100"/>
              <w:right w:type="dxa" w:w="140"/>
            </w:tcMar>
            <w:vAlign w:val="center"/>
          </w:tcPr>
          <w:p>
            <w:pPr>
              <w:spacing w:after="0" w:line="260"/>
            </w:pPr>
            <w:r>
              <w:rPr>
                <w:b/>
                <w:bCs/>
                <w:sz w:val="20"/>
                <w:szCs w:val="20"/>
              </w:rPr>
              <w:t xml:space="preserve">For ClickNsend</w:t>
            </w:r>
          </w:p>
        </w:tc>
        <w:tc>
          <w:tcPr>
            <w:tcW w:type="dxa" w:w="4513"/>
            <w:shd w:fill="E8EAF0" w:color="auto" w:val="clear"/>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Signature:</w:t>
            </w: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p>
        </w:tc>
        <w:tc>
          <w:tcPr>
            <w:tcW w:type="dxa" w:w="4513"/>
            <w:tcMar>
              <w:top w:type="dxa" w:w="100"/>
              <w:left w:type="dxa" w:w="140"/>
              <w:bottom w:type="dxa" w:w="100"/>
              <w:right w:type="dxa" w:w="140"/>
            </w:tcMar>
            <w:vAlign w:val="center"/>
          </w:tcPr>
          <w:p>
            <w:pPr>
              <w:spacing w:after="0" w:line="260"/>
            </w:pP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Name:  </w:t>
            </w:r>
            <w:r>
              <w:rPr>
                <w:sz w:val="20"/>
                <w:szCs w:val="20"/>
                <w:highlight w:val="yellow"/>
                <w:highlightCs w:val="yellow"/>
              </w:rPr>
              <w:t xml:space="preserve">[FULL NAME]</w:t>
            </w:r>
          </w:p>
        </w:tc>
        <w:tc>
          <w:tcPr>
            <w:tcW w:type="dxa" w:w="4513"/>
            <w:tcMar>
              <w:top w:type="dxa" w:w="100"/>
              <w:left w:type="dxa" w:w="140"/>
              <w:bottom w:type="dxa" w:w="100"/>
              <w:right w:type="dxa" w:w="140"/>
            </w:tcMar>
            <w:vAlign w:val="center"/>
          </w:tcPr>
          <w:p>
            <w:pPr>
              <w:spacing w:after="0" w:line="260"/>
            </w:pPr>
            <w:r>
              <w:rPr>
                <w:sz w:val="20"/>
                <w:szCs w:val="20"/>
              </w:rPr>
              <w:t xml:space="preserve">Title:  </w:t>
            </w:r>
            <w:r>
              <w:rPr>
                <w:sz w:val="20"/>
                <w:szCs w:val="20"/>
                <w:highlight w:val="yellow"/>
                <w:highlightCs w:val="yellow"/>
              </w:rPr>
              <w:t xml:space="preserve">[JOB TITLE]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Email:  </w:t>
            </w:r>
            <w:r>
              <w:rPr>
                <w:sz w:val="20"/>
                <w:szCs w:val="20"/>
                <w:highlight w:val="yellow"/>
                <w:highlightCs w:val="yellow"/>
              </w:rPr>
              <w:t xml:space="preserve">[EMAIL]</w:t>
            </w:r>
          </w:p>
        </w:tc>
        <w:tc>
          <w:tcPr>
            <w:tcW w:type="dxa" w:w="4513"/>
            <w:tcMar>
              <w:top w:type="dxa" w:w="100"/>
              <w:left w:type="dxa" w:w="140"/>
              <w:bottom w:type="dxa" w:w="100"/>
              <w:right w:type="dxa" w:w="140"/>
            </w:tcMar>
            <w:vAlign w:val="center"/>
          </w:tcPr>
          <w:p>
            <w:pPr>
              <w:spacing w:after="0" w:line="260"/>
            </w:pPr>
            <w:r>
              <w:rPr>
                <w:sz w:val="20"/>
                <w:szCs w:val="20"/>
              </w:rPr>
              <w:t xml:space="preserve">Phone:  </w:t>
            </w:r>
            <w:r>
              <w:rPr>
                <w:sz w:val="20"/>
                <w:szCs w:val="20"/>
                <w:highlight w:val="yellow"/>
                <w:highlightCs w:val="yellow"/>
              </w:rPr>
              <w:t xml:space="preserve">[PHONE]</w:t>
            </w:r>
          </w:p>
        </w:tc>
      </w:tr>
      <w:tr>
        <w:trPr>
          <w:tblHeader w:val="false"/>
        </w:trPr>
        <w:tc>
          <w:tcPr>
            <w:tcW w:type="dxa" w:w="4513"/>
            <w:tcMar>
              <w:top w:type="dxa" w:w="100"/>
              <w:left w:type="dxa" w:w="140"/>
              <w:bottom w:type="dxa" w:w="100"/>
              <w:right w:type="dxa" w:w="140"/>
            </w:tcMar>
            <w:vAlign w:val="center"/>
          </w:tcPr>
          <w:p>
            <w:pPr>
              <w:spacing w:after="0" w:line="260"/>
            </w:pPr>
            <w:r>
              <w:rPr>
                <w:sz w:val="20"/>
                <w:szCs w:val="20"/>
              </w:rPr>
              <w:t xml:space="preserve">Date:</w:t>
            </w:r>
          </w:p>
        </w:tc>
        <w:tc>
          <w:tcPr>
            <w:tcW w:type="dxa" w:w="4513"/>
            <w:tcMar>
              <w:top w:type="dxa" w:w="100"/>
              <w:left w:type="dxa" w:w="140"/>
              <w:bottom w:type="dxa" w:w="100"/>
              <w:right w:type="dxa" w:w="140"/>
            </w:tcMar>
            <w:vAlign w:val="center"/>
          </w:tcPr>
          <w:p>
            <w:pPr>
              <w:spacing w:after="0" w:line="260"/>
            </w:pPr>
            <w:r>
              <w:rPr>
                <w:sz w:val="20"/>
                <w:szCs w:val="20"/>
              </w:rPr>
              <w:t xml:space="preserve">Company stamp (if used):</w:t>
            </w:r>
          </w:p>
        </w:tc>
      </w:tr>
    </w:tbl>
    <w:p>
      <w:pPr>
        <w:spacing w:after="260"/>
      </w:pPr>
    </w:p>
    <w:p>
      <w:pPr>
        <w:spacing w:after="140" w:before="200"/>
      </w:pPr>
      <w:r>
        <w:rPr>
          <w:b/>
          <w:bCs/>
          <w:color w:val="8A1C1C"/>
          <w:sz w:val="22"/>
          <w:szCs w:val="22"/>
        </w:rPr>
        <w:t xml:space="preserve">Notes for QuickInsight — delete this section before sending</w:t>
      </w:r>
    </w:p>
    <w:p>
      <w:pPr>
        <w:pStyle w:val="ListParagraph"/>
        <w:numPr>
          <w:ilvl w:val="0"/>
          <w:numId w:val="2"/>
        </w:numPr>
        <w:spacing w:after="110" w:line="276"/>
      </w:pPr>
      <w:r>
        <w:t xml:space="preserve">Do not fill in the results figures yourself. Ask the customer for them, and use their number even if it is lower than you hoped — a modest verified figure is evidence, an impressive invented one is not.</w:t>
      </w:r>
    </w:p>
    <w:p>
      <w:pPr>
        <w:pStyle w:val="ListParagraph"/>
        <w:numPr>
          <w:ilvl w:val="0"/>
          <w:numId w:val="2"/>
        </w:numPr>
        <w:spacing w:after="110" w:line="276"/>
      </w:pPr>
      <w:r>
        <w:t xml:space="preserve">If the customer cannot give a number, delete that row rather than estimating.</w:t>
      </w:r>
    </w:p>
    <w:p>
      <w:pPr>
        <w:pStyle w:val="ListParagraph"/>
        <w:numPr>
          <w:ilvl w:val="0"/>
          <w:numId w:val="2"/>
        </w:numPr>
        <w:spacing w:after="110" w:line="276"/>
      </w:pPr>
      <w:r>
        <w:t xml:space="preserve">One question gets you most of the results table: "Before QuickInsight, how often did you rebuild this and roughly how long did it take each time? And now?"</w:t>
      </w:r>
    </w:p>
    <w:p>
      <w:pPr>
        <w:pStyle w:val="ListParagraph"/>
        <w:numPr>
          <w:ilvl w:val="0"/>
          <w:numId w:val="2"/>
        </w:numPr>
        <w:spacing w:after="110" w:line="276"/>
      </w:pPr>
      <w:r>
        <w:t xml:space="preserve">The quote must be the customer’s own words. If they ask you to draft one, send it as a suggestion and let them rewrite it.</w:t>
      </w:r>
    </w:p>
    <w:p>
      <w:pPr>
        <w:pStyle w:val="ListParagraph"/>
        <w:numPr>
          <w:ilvl w:val="0"/>
          <w:numId w:val="2"/>
        </w:numPr>
        <w:spacing w:after="110" w:line="276"/>
      </w:pPr>
      <w:r>
        <w:t xml:space="preserve">Send as PDF once the placeholders are filled. Ask for a signed scan back, and keep the original.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2E"/>
      <w:sz w:val="26"/>
      <w:szCs w:val="26"/>
    </w:rPr>
  </w:style>
  <w:style w:type="paragraph" w:styleId="Heading2">
    <w:name w:val="Heading 2"/>
    <w:basedOn w:val="Normal"/>
    <w:next w:val="Normal"/>
    <w:qFormat/>
    <w:rPr>
      <w:rFonts w:ascii="Calibri" w:cs="Calibri" w:eastAsia="Calibri" w:hAnsi="Calibri"/>
      <w:b/>
      <w:bCs/>
      <w:color w:val="333344"/>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2026-08-02T22:49:50.836Z</dcterms:created>
  <dcterms:modified xsi:type="dcterms:W3CDTF">2026-08-02T22:49:50.850Z</dcterms:modified>
</cp:coreProperties>
</file>

<file path=docProps/custom.xml><?xml version="1.0" encoding="utf-8"?>
<Properties xmlns="http://schemas.openxmlformats.org/officeDocument/2006/custom-properties" xmlns:vt="http://schemas.openxmlformats.org/officeDocument/2006/docPropsVTypes"/>
</file>