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66677"/>
          <w:sz w:val="20"/>
          <w:szCs w:val="20"/>
        </w:rPr>
        <w:t xml:space="preserve">CASE STUDY</w:t>
      </w:r>
    </w:p>
    <w:p>
      <w:pPr>
        <w:spacing w:after="80"/>
      </w:pPr>
      <w:r>
        <w:rPr>
          <w:b/>
          <w:bCs/>
          <w:color w:val="1A1A2E"/>
          <w:sz w:val="40"/>
          <w:szCs w:val="40"/>
        </w:rPr>
        <w:t xml:space="preserve">Technogence</w:t>
      </w:r>
    </w:p>
    <w:p>
      <w:pPr>
        <w:spacing w:after="200"/>
      </w:pPr>
      <w:r>
        <w:rPr>
          <w:color w:val="444455"/>
          <w:sz w:val="24"/>
          <w:szCs w:val="24"/>
        </w:rPr>
        <w:t xml:space="preserve">Software services and training · [CITY], India</w:t>
      </w:r>
    </w:p>
    <w:p>
      <w:pPr>
        <w:spacing w:after="200" w:line="300"/>
      </w:pPr>
      <w:r>
        <w:rPr>
          <w:color w:val="2A2A3E"/>
          <w:sz w:val="25"/>
          <w:szCs w:val="25"/>
        </w:rPr>
        <w:t xml:space="preserve">Every question meant cleaning a spreadsheet and writing formulas first. Managers were spending hours proving things that turned out not to be true — and, more often, not asking at all.</w:t>
      </w:r>
    </w:p>
    <w:p>
      <w:pPr>
        <w:pBdr>
          <w:bottom w:val="single" w:color="999999" w:sz="6" w:space="6"/>
        </w:pBdr>
        <w:spacing w:after="320"/>
      </w:pPr>
    </w:p>
    <w:p>
      <w:pPr>
        <w:pStyle w:val="Heading1"/>
        <w:spacing w:after="160" w:before="360"/>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Sector</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Software services and training</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Location</w:t>
            </w:r>
          </w:p>
        </w:tc>
        <w:tc>
          <w:tcPr>
            <w:tcW w:type="dxa" w:w="6426"/>
            <w:tcMar>
              <w:top w:type="dxa" w:w="100"/>
              <w:left w:type="dxa" w:w="140"/>
              <w:bottom w:type="dxa" w:w="100"/>
              <w:right w:type="dxa" w:w="140"/>
            </w:tcMar>
            <w:vAlign w:val="center"/>
          </w:tcPr>
          <w:p>
            <w:pPr>
              <w:spacing w:after="0" w:line="260"/>
            </w:pPr>
            <w:r>
              <w:rPr>
                <w:b w:val="false"/>
                <w:bCs w:val="false"/>
                <w:sz w:val="20"/>
                <w:szCs w:val="20"/>
                <w:highlight w:val="yellow"/>
                <w:highlightCs w:val="yellow"/>
              </w:rPr>
              <w:t xml:space="preserve">[CITY]</w:t>
            </w:r>
            <w:r>
              <w:rPr>
                <w:b w:val="false"/>
                <w:bCs w:val="false"/>
                <w:sz w:val="20"/>
                <w:szCs w:val="20"/>
              </w:rPr>
              <w:t xml:space="preserve">, India</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Size</w:t>
            </w:r>
          </w:p>
        </w:tc>
        <w:tc>
          <w:tcPr>
            <w:tcW w:type="dxa" w:w="6426"/>
            <w:tcMar>
              <w:top w:type="dxa" w:w="100"/>
              <w:left w:type="dxa" w:w="140"/>
              <w:bottom w:type="dxa" w:w="100"/>
              <w:right w:type="dxa" w:w="140"/>
            </w:tcMar>
            <w:vAlign w:val="center"/>
          </w:tcPr>
          <w:p>
            <w:pPr>
              <w:spacing w:after="0" w:line="260"/>
            </w:pPr>
            <w:r>
              <w:rPr>
                <w:b w:val="false"/>
                <w:bCs w:val="false"/>
                <w:sz w:val="20"/>
                <w:szCs w:val="20"/>
                <w:highlight w:val="yellow"/>
                <w:highlightCs w:val="yellow"/>
              </w:rPr>
              <w:t xml:space="preserve">[N]</w:t>
            </w:r>
            <w:r>
              <w:rPr>
                <w:b w:val="false"/>
                <w:bCs w:val="false"/>
                <w:sz w:val="20"/>
                <w:szCs w:val="20"/>
              </w:rPr>
              <w:t xml:space="preserve"> employees</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Using QuickInsight since</w:t>
            </w:r>
          </w:p>
        </w:tc>
        <w:tc>
          <w:tcPr>
            <w:tcW w:type="dxa" w:w="6426"/>
            <w:tcMar>
              <w:top w:type="dxa" w:w="100"/>
              <w:left w:type="dxa" w:w="140"/>
              <w:bottom w:type="dxa" w:w="100"/>
              <w:right w:type="dxa" w:w="140"/>
            </w:tcMar>
            <w:vAlign w:val="center"/>
          </w:tcPr>
          <w:p>
            <w:pPr>
              <w:spacing w:after="0" w:line="260"/>
            </w:pPr>
            <w:r>
              <w:rPr>
                <w:b w:val="false"/>
                <w:bCs w:val="false"/>
                <w:sz w:val="20"/>
                <w:szCs w:val="20"/>
                <w:highlight w:val="yellow"/>
                <w:highlightCs w:val="yellow"/>
              </w:rPr>
              <w:t xml:space="preserve">[MONTH YEAR]</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Used for</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Student enrolment analysis, management dashboards, and checking ideas before they are presented</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Data source</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Excel enrolment records for the courses Technogence provides — </w:t>
            </w:r>
            <w:r>
              <w:rPr>
                <w:b w:val="false"/>
                <w:bCs w:val="false"/>
                <w:sz w:val="20"/>
                <w:szCs w:val="20"/>
                <w:highlight w:val="yellow"/>
                <w:highlightCs w:val="yellow"/>
              </w:rPr>
              <w:t xml:space="preserve">[DESCRIBE THE STRUCTURE, e.g. one sheet per intake]</w:t>
            </w:r>
          </w:p>
        </w:tc>
      </w:tr>
    </w:tbl>
    <w:p>
      <w:pPr>
        <w:pStyle w:val="Heading1"/>
        <w:spacing w:after="160" w:before="360"/>
      </w:pPr>
      <w:r>
        <w:t xml:space="preserve">An Excel business</w:t>
      </w:r>
    </w:p>
    <w:p>
      <w:pPr>
        <w:spacing w:after="180" w:line="288"/>
      </w:pPr>
      <w:r>
        <w:t xml:space="preserve">Technogence runs </w:t>
      </w:r>
      <w:r>
        <w:rPr>
          <w:b/>
          <w:bCs/>
          <w:highlight w:val="yellow"/>
          <w:highlightCs w:val="yellow"/>
        </w:rPr>
        <w:t xml:space="preserve">[DESCRIBE — e.g. technical courses alongside its software services work]</w:t>
      </w:r>
      <w:r>
        <w:t xml:space="preserve">. Like a great many companies, it runs its analysis in Excel. Not as a stopgap, and not because nobody knows better — Excel is genuinely the right tool for most of what the team does. Small tasks, quick checks, one-off pieces of work.</w:t>
      </w:r>
    </w:p>
    <w:p>
      <w:pPr>
        <w:spacing w:after="180" w:line="288"/>
      </w:pPr>
      <w:r>
        <w:t xml:space="preserve">The difficulty is not Excel itself. It is what has to happen before Excel can answer anything.</w:t>
      </w:r>
    </w:p>
    <w:p>
      <w:pPr>
        <w:pStyle w:val="Heading1"/>
        <w:spacing w:after="160" w:before="360"/>
      </w:pPr>
      <w:r>
        <w:t xml:space="preserve">The cost of a question</w:t>
      </w:r>
    </w:p>
    <w:p>
      <w:pPr>
        <w:spacing w:after="180" w:line="288"/>
      </w:pPr>
      <w:r>
        <w:t xml:space="preserve">Enrolment data arrives as spreadsheets that were built for recording, not for analysis. Before any question could be answered, someone had to clean the file by hand — standardising inconsistent entries, fixing date columns, making the same thing spelled three ways count as one thing — and then write the formulas to produce the answer.</w:t>
      </w:r>
    </w:p>
    <w:p>
      <w:pPr>
        <w:spacing w:after="180" w:line="288"/>
      </w:pPr>
      <w:r>
        <w:t xml:space="preserve">For a single reported figure that is a manageable overhead. Repeated across every question anyone thinks to ask, it becomes the job.</w:t>
      </w:r>
    </w:p>
    <w:p>
      <w:pPr>
        <w:spacing w:after="180" w:line="288"/>
      </w:pPr>
      <w:r>
        <w:t xml:space="preserve">The recurring problems were:</w:t>
      </w:r>
    </w:p>
    <w:p>
      <w:pPr>
        <w:pStyle w:val="ListParagraph"/>
        <w:numPr>
          <w:ilvl w:val="0"/>
          <w:numId w:val="2"/>
        </w:numPr>
        <w:spacing w:after="110" w:line="276"/>
      </w:pPr>
      <w:r>
        <w:rPr>
          <w:b/>
          <w:bCs/>
          <w:highlight w:val="yellow"/>
          <w:highlightCs w:val="yellow"/>
        </w:rPr>
        <w:t xml:space="preserve">[DIFFICULTY 1 — e.g. each coordinator structured their sheet slightly differently, so the columns did not line up]</w:t>
      </w:r>
    </w:p>
    <w:p>
      <w:pPr>
        <w:pStyle w:val="ListParagraph"/>
        <w:numPr>
          <w:ilvl w:val="0"/>
          <w:numId w:val="2"/>
        </w:numPr>
        <w:spacing w:after="110" w:line="276"/>
      </w:pPr>
      <w:r>
        <w:rPr>
          <w:b/>
          <w:bCs/>
          <w:highlight w:val="yellow"/>
          <w:highlightCs w:val="yellow"/>
        </w:rPr>
        <w:t xml:space="preserve">[DIFFICULTY 2 — e.g. enrolment status was recorded as free text, so counting completions meant reading every row]</w:t>
      </w:r>
    </w:p>
    <w:p>
      <w:pPr>
        <w:pStyle w:val="ListParagraph"/>
        <w:numPr>
          <w:ilvl w:val="0"/>
          <w:numId w:val="2"/>
        </w:numPr>
        <w:spacing w:after="110" w:line="276"/>
      </w:pPr>
      <w:r>
        <w:rPr>
          <w:b/>
          <w:bCs/>
          <w:highlight w:val="yellow"/>
          <w:highlightCs w:val="yellow"/>
        </w:rPr>
        <w:t xml:space="preserve">[DIFFICULTY 3 — e.g. the formulas that produced last quarter’s numbers were not reusable on this quarter’s file]</w:t>
      </w:r>
    </w:p>
    <w:p>
      <w:pPr>
        <w:pStyle w:val="Heading1"/>
        <w:spacing w:after="160" w:before="360"/>
      </w:pPr>
      <w:r>
        <w:t xml:space="preserve">The questions that never got asked</w:t>
      </w:r>
    </w:p>
    <w:p>
      <w:pPr>
        <w:spacing w:after="180" w:line="288"/>
      </w:pPr>
      <w:r>
        <w:t xml:space="preserve">The obvious cost of all this is time. The less obvious cost, and the more damaging one, is the analysis that never happens.</w:t>
      </w:r>
    </w:p>
    <w:p>
      <w:pPr>
        <w:spacing w:after="180" w:line="288"/>
      </w:pPr>
      <w:r>
        <w:t xml:space="preserve">When checking an idea takes an hour of cleaning and formula-writing, people stop checking ideas. A manager with a hunch about which courses were losing students between enrolment and completion faced a choice: spend the afternoon finding out, or go into the meeting and say it anyway. Neither is good. The first is expensive; the second means decisions get made on impressions.</w:t>
      </w:r>
    </w:p>
    <w:p>
      <w:pPr>
        <w:spacing w:after="180" w:line="288"/>
      </w:pPr>
      <w:r>
        <w:t xml:space="preserve">Curiosity had a price, so there was less of it than there should have been.</w:t>
      </w:r>
    </w:p>
    <w:p>
      <w:pPr>
        <w:pStyle w:val="Heading1"/>
        <w:spacing w:after="160" w:before="360"/>
      </w:pPr>
      <w:r>
        <w:t xml:space="preserve">Why the usual answers did not fit</w:t>
      </w:r>
    </w:p>
    <w:p>
      <w:pPr>
        <w:spacing w:after="180" w:line="288"/>
      </w:pPr>
      <w:r>
        <w:t xml:space="preserve">The obvious solution is to hire someone. A data analyst would have taken the reporting off the managers doing the analysis’s desk entirely. But a salaried analyst was never realistic for a business of Technogence’s size — the cost of the role would have been out of proportion to the problem it solved. </w:t>
      </w:r>
      <w:r>
        <w:rPr>
          <w:b/>
          <w:bCs/>
          <w:highlight w:val="yellow"/>
          <w:highlightCs w:val="yellow"/>
        </w:rPr>
        <w:t xml:space="preserve">[ADD TECHNOGENCE’S OWN WORDS ON WHY HIRING WAS NOT AN OPTION, IF THEY ARE WILLING TO GIVE THEM.]</w:t>
      </w:r>
    </w:p>
    <w:p>
      <w:pPr>
        <w:spacing w:after="180" w:line="288"/>
      </w:pPr>
      <w:r>
        <w:t xml:space="preserve">The second obvious solution is a business intelligence tool. On paper these solve exactly this problem. In practice they move the difficulty rather than removing it: before a chart appears, someone has to connect the data, define how tables relate to each other, and build a model. That is analyst work. Buying the software does not supply the person who knows how to use it, and for a small team the licence cost arrives on top of a learning curve nobody has time for.</w:t>
      </w:r>
    </w:p>
    <w:p>
      <w:pPr>
        <w:spacing w:after="180" w:line="288"/>
      </w:pPr>
      <w:r>
        <w:t xml:space="preserve">Moving the enrolment records into a proper system was considered, but replacing a working process for the sake of reporting is a large change to make for a small question, and the team was comfortable in Excel. </w:t>
      </w:r>
      <w:r>
        <w:rPr>
          <w:b/>
          <w:bCs/>
          <w:highlight w:val="yellow"/>
          <w:highlightCs w:val="yellow"/>
        </w:rPr>
        <w:t xml:space="preserve">[CONFIRM OR REPLACE WITH WHAT TECHNOGENCE ACTUALLY CONSIDERED.]</w:t>
      </w:r>
    </w:p>
    <w:p>
      <w:pPr>
        <w:spacing w:after="180" w:line="288"/>
      </w:pPr>
      <w:r>
        <w:t xml:space="preserve">So the work stayed where it was — with the managers doing the analysis, in Excel, done by hand.</w:t>
      </w:r>
    </w:p>
    <w:p>
      <w:pPr>
        <w:pStyle w:val="Heading1"/>
        <w:spacing w:after="160" w:before="360"/>
      </w:pPr>
      <w:r>
        <w:t xml:space="preserve">What changed</w:t>
      </w:r>
    </w:p>
    <w:p>
      <w:pPr>
        <w:spacing w:after="180" w:line="288"/>
      </w:pPr>
      <w:r>
        <w:t xml:space="preserve">Technogence started using QuickInsight in </w:t>
      </w:r>
      <w:r>
        <w:rPr>
          <w:b/>
          <w:bCs/>
          <w:highlight w:val="yellow"/>
          <w:highlightCs w:val="yellow"/>
        </w:rPr>
        <w:t xml:space="preserve">[MONTH YEAR]</w:t>
      </w:r>
      <w:r>
        <w:t xml:space="preserve">, not to replace Excel but to replace the manual work that had to happen before Excel could be useful.</w:t>
      </w:r>
    </w:p>
    <w:p>
      <w:pPr>
        <w:spacing w:after="180" w:line="288"/>
      </w:pPr>
      <w:r>
        <w:t xml:space="preserve">The enrolment spreadsheet is loaded straight into the browser, exactly as it is. The cleaning that used to be done by hand happens automatically: date columns are detected and standardised, numbers that can meaningfully be added up are distinguished from those that cannot, and inconsistent category values are tidied so that "Completed", "completed" and "COMPLETE" are counted once rather than three times.</w:t>
      </w:r>
    </w:p>
    <w:p>
      <w:pPr>
        <w:spacing w:after="180" w:line="288"/>
      </w:pPr>
      <w:r>
        <w:t xml:space="preserve">Questions are then asked in one of two ways. The guided question builder works by choosing what to break the numbers down by, which figure to measure, which rows to include and how to order the result — the four things every business question is made of. Alternatively the question can simply be typed in plain English. Either way a chart or table appears, with the underlying query visible for anyone who wants to check it.</w:t>
      </w:r>
    </w:p>
    <w:p>
      <w:pPr>
        <w:spacing w:after="180" w:line="288"/>
      </w:pPr>
      <w:r>
        <w:t xml:space="preserve">Typical questions include:</w:t>
      </w:r>
    </w:p>
    <w:p>
      <w:pPr>
        <w:pStyle w:val="ListParagraph"/>
        <w:numPr>
          <w:ilvl w:val="0"/>
          <w:numId w:val="2"/>
        </w:numPr>
        <w:spacing w:after="110" w:line="276"/>
      </w:pPr>
      <w:r>
        <w:rPr>
          <w:b/>
          <w:bCs/>
          <w:highlight w:val="yellow"/>
          <w:highlightCs w:val="yellow"/>
        </w:rPr>
        <w:t xml:space="preserve">[QUESTION 1 — e.g. enrolments by course, this intake]</w:t>
      </w:r>
    </w:p>
    <w:p>
      <w:pPr>
        <w:pStyle w:val="ListParagraph"/>
        <w:numPr>
          <w:ilvl w:val="0"/>
          <w:numId w:val="2"/>
        </w:numPr>
        <w:spacing w:after="110" w:line="276"/>
      </w:pPr>
      <w:r>
        <w:rPr>
          <w:b/>
          <w:bCs/>
          <w:highlight w:val="yellow"/>
          <w:highlightCs w:val="yellow"/>
        </w:rPr>
        <w:t xml:space="preserve">[QUESTION 2 — e.g. completion rate by course, lowest first]</w:t>
      </w:r>
    </w:p>
    <w:p>
      <w:pPr>
        <w:pStyle w:val="ListParagraph"/>
        <w:numPr>
          <w:ilvl w:val="0"/>
          <w:numId w:val="2"/>
        </w:numPr>
        <w:spacing w:after="110" w:line="276"/>
      </w:pPr>
      <w:r>
        <w:rPr>
          <w:b/>
          <w:bCs/>
          <w:highlight w:val="yellow"/>
          <w:highlightCs w:val="yellow"/>
        </w:rPr>
        <w:t xml:space="preserve">[QUESTION 3 — e.g. enrolments month by month against the same period last year]</w:t>
      </w:r>
    </w:p>
    <w:p>
      <w:pPr>
        <w:pStyle w:val="ListParagraph"/>
        <w:numPr>
          <w:ilvl w:val="0"/>
          <w:numId w:val="2"/>
        </w:numPr>
        <w:spacing w:after="110" w:line="276"/>
      </w:pPr>
      <w:r>
        <w:rPr>
          <w:b/>
          <w:bCs/>
          <w:highlight w:val="yellow"/>
          <w:highlightCs w:val="yellow"/>
        </w:rPr>
        <w:t xml:space="preserve">[QUESTION 4 — e.g. drop-off between enrolment and completion, by course]</w:t>
      </w:r>
    </w:p>
    <w:p>
      <w:pPr>
        <w:spacing w:after="180" w:line="288"/>
      </w:pPr>
      <w:r>
        <w:t xml:space="preserve">No formulas are written. No file is cleaned by hand first.</w:t>
      </w:r>
    </w:p>
    <w:p>
      <w:pPr>
        <w:pStyle w:val="Heading1"/>
        <w:spacing w:after="160" w:before="360"/>
      </w:pPr>
      <w:r>
        <w:t xml:space="preserve">Checking an idea before taking it upstairs</w:t>
      </w:r>
    </w:p>
    <w:p>
      <w:pPr>
        <w:spacing w:after="180" w:line="288"/>
      </w:pPr>
      <w:r>
        <w:t xml:space="preserve">The use that emerged on its own was not the one anyone planned for.</w:t>
      </w:r>
    </w:p>
    <w:p>
      <w:pPr>
        <w:spacing w:after="180" w:line="288"/>
      </w:pPr>
      <w:r>
        <w:t xml:space="preserve">Managers began using QuickInsight privately, to check whether an idea held up in the data before presenting it. Someone suspects a particular course is losing students earlier than the others; rather than building the analysis to find out, they ask the question, look at the answer, and know within a minute or two whether there is anything there.</w:t>
      </w:r>
    </w:p>
    <w:p>
      <w:pPr>
        <w:spacing w:after="180" w:line="288"/>
      </w:pPr>
      <w:r>
        <w:t xml:space="preserve">The effect is that ideas arrive at management meetings already tested. Three hunches get checked and the two that were wrong are dropped quietly, instead of one being presented unverified and argued about in the room. Being wrong in private is cheap; being wrong in front of the leadership team is not.</w:t>
      </w:r>
    </w:p>
    <w:p>
      <w:pPr>
        <w:spacing w:after="180" w:line="288"/>
      </w:pPr>
      <w:r>
        <w:t xml:space="preserve">This only works because the cost of asking has collapsed. At an hour a question, nobody explores. At a minute a question, they do. </w:t>
      </w:r>
      <w:r>
        <w:rPr>
          <w:b/>
          <w:bCs/>
          <w:highlight w:val="yellow"/>
          <w:highlightCs w:val="yellow"/>
        </w:rPr>
        <w:t xml:space="preserve">[ADD A SPECIFIC EXAMPLE IF A MANAGER IS WILLING TO GIVE ONE — an idea that was checked and turned out to be wrong is more convincing here than one that was right.]</w:t>
      </w:r>
    </w:p>
    <w:p>
      <w:pPr>
        <w:pStyle w:val="Heading1"/>
        <w:spacing w:after="160" w:before="360"/>
      </w:pPr>
      <w:r>
        <w:t xml:space="preserve">Dashboards for management</w:t>
      </w:r>
    </w:p>
    <w:p>
      <w:pPr>
        <w:spacing w:after="180" w:line="288"/>
      </w:pPr>
      <w:r>
        <w:t xml:space="preserve">The analyses that get asked for repeatedly are saved as dashboards and presented to senior management, rather than being rebuilt into slides each time. The figures are current whenever anyone opens them, so the enrolment picture shown in a management meeting is the position today rather than the position on the day someone last had time to compile it.</w:t>
      </w:r>
    </w:p>
    <w:p>
      <w:pPr>
        <w:spacing w:after="180" w:line="288"/>
      </w:pPr>
      <w:r>
        <w:rPr>
          <w:b/>
          <w:bCs/>
          <w:highlight w:val="yellow"/>
          <w:highlightCs w:val="yellow"/>
        </w:rPr>
        <w:t xml:space="preserve">[CONFIRM HOW OFTEN THESE ARE REVIEWED AND BY WHOM.]</w:t>
      </w:r>
    </w:p>
    <w:p>
      <w:pPr>
        <w:pStyle w:val="Heading1"/>
        <w:spacing w:after="160" w:before="360"/>
      </w:pPr>
      <w:r>
        <w:t xml:space="preserve">A note on the data itself</w:t>
      </w:r>
    </w:p>
    <w:p>
      <w:pPr>
        <w:spacing w:after="180" w:line="288"/>
      </w:pPr>
      <w:r>
        <w:t xml:space="preserve">Enrolment records hold student names, email addresses and telephone numbers — personal data belonging to the individuals who signed up for a course, not to Technogence.</w:t>
      </w:r>
    </w:p>
    <w:p>
      <w:pPr>
        <w:spacing w:after="180" w:line="288"/>
      </w:pPr>
      <w:r>
        <w:t xml:space="preserve">This turned out to matter more than expected. QuickInsight does its work inside the web browser on the user’s own computer — the spreadsheet is never uploaded to a server. Where the plain-English question feature is used, only the structure of the data is sent: table names, column names and data types. No data values are sent unless the user explicitly switches that on, and even then anything resembling a name, an identifier, contact details or a sensitive category is excluded automatically, with the user able to switch off any remaining column or individual value first.</w:t>
      </w:r>
    </w:p>
    <w:p>
      <w:pPr>
        <w:spacing w:after="180" w:line="288"/>
      </w:pPr>
      <w:r>
        <w:t xml:space="preserve">The practical effect is that adopting the tool required no data protection review, no supplier security assessment, and no conversation about where the data would be stored. </w:t>
      </w:r>
      <w:r>
        <w:rPr>
          <w:b/>
          <w:bCs/>
          <w:highlight w:val="yellow"/>
          <w:highlightCs w:val="yellow"/>
        </w:rPr>
        <w:t xml:space="preserve">[CONFIRM THIS IS ACCURATE FOR THIS CUSTOMER — DELETE IF A REVIEW WAS IN FACT CARRIED OUT, OR REPLACE WITH WHAT THEY DID.]</w:t>
      </w:r>
    </w:p>
    <w:p>
      <w:pPr>
        <w:pStyle w:val="Heading1"/>
        <w:spacing w:after="160" w:before="360"/>
      </w:pPr>
      <w:r>
        <w:t xml:space="preserve">Results</w:t>
      </w:r>
    </w:p>
    <w:p>
      <w:pPr>
        <w:spacing w:after="180" w:line="288"/>
      </w:pPr>
      <w:r>
        <w:rPr>
          <w:b/>
          <w:bCs/>
          <w:highlight w:val="yellow"/>
          <w:highlightCs w:val="yellow"/>
        </w:rPr>
        <w:t xml:space="preserve">[Technogence to complete. Use only figures Technogence can stand behind. Delete any row that cannot be evidenced.]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shd w:fill="E8EAF0" w:color="auto" w:val="clear"/>
            <w:tcMar>
              <w:top w:type="dxa" w:w="100"/>
              <w:left w:type="dxa" w:w="140"/>
              <w:bottom w:type="dxa" w:w="100"/>
              <w:right w:type="dxa" w:w="140"/>
            </w:tcMar>
            <w:vAlign w:val="center"/>
          </w:tcPr>
          <w:p>
            <w:pPr>
              <w:spacing w:after="0" w:line="260"/>
            </w:pPr>
            <w:r>
              <w:rPr>
                <w:b/>
                <w:bCs/>
                <w:sz w:val="20"/>
                <w:szCs w:val="20"/>
              </w:rPr>
              <w:t xml:space="preserve">Measure</w:t>
            </w:r>
          </w:p>
        </w:tc>
        <w:tc>
          <w:tcPr>
            <w:tcW w:type="dxa" w:w="2400"/>
            <w:shd w:fill="E8EAF0" w:color="auto" w:val="clear"/>
            <w:tcMar>
              <w:top w:type="dxa" w:w="100"/>
              <w:left w:type="dxa" w:w="140"/>
              <w:bottom w:type="dxa" w:w="100"/>
              <w:right w:type="dxa" w:w="140"/>
            </w:tcMar>
            <w:vAlign w:val="center"/>
          </w:tcPr>
          <w:p>
            <w:pPr>
              <w:spacing w:after="0" w:line="260"/>
            </w:pPr>
            <w:r>
              <w:rPr>
                <w:b/>
                <w:bCs/>
                <w:sz w:val="20"/>
                <w:szCs w:val="20"/>
              </w:rPr>
              <w:t xml:space="preserve">Before</w:t>
            </w:r>
          </w:p>
        </w:tc>
        <w:tc>
          <w:tcPr>
            <w:tcW w:type="dxa" w:w="2426"/>
            <w:shd w:fill="E8EAF0" w:color="auto" w:val="clear"/>
            <w:tcMar>
              <w:top w:type="dxa" w:w="100"/>
              <w:left w:type="dxa" w:w="140"/>
              <w:bottom w:type="dxa" w:w="100"/>
              <w:right w:type="dxa" w:w="140"/>
            </w:tcMar>
            <w:vAlign w:val="center"/>
          </w:tcPr>
          <w:p>
            <w:pPr>
              <w:spacing w:after="0" w:line="260"/>
            </w:pPr>
            <w:r>
              <w:rPr>
                <w:b/>
                <w:bCs/>
                <w:sz w:val="20"/>
                <w:szCs w:val="20"/>
              </w:rPr>
              <w:t xml:space="preserve">After</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Time to prepare a file before it can be analysed</w:t>
            </w:r>
          </w:p>
        </w:tc>
        <w:tc>
          <w:tcPr>
            <w:tcW w:type="dxa" w:w="2400"/>
            <w:tcMar>
              <w:top w:type="dxa" w:w="100"/>
              <w:left w:type="dxa" w:w="140"/>
              <w:bottom w:type="dxa" w:w="100"/>
              <w:right w:type="dxa" w:w="140"/>
            </w:tcMar>
            <w:vAlign w:val="center"/>
          </w:tcPr>
          <w:p>
            <w:pPr>
              <w:spacing w:after="0" w:line="260"/>
            </w:pPr>
            <w:r>
              <w:rPr>
                <w:sz w:val="20"/>
                <w:szCs w:val="20"/>
                <w:highlight w:val="yellow"/>
                <w:highlightCs w:val="yellow"/>
              </w:rPr>
              <w:t xml:space="preserve">[N]</w:t>
            </w:r>
            <w:r>
              <w:rPr>
                <w:sz w:val="20"/>
                <w:szCs w:val="20"/>
              </w:rPr>
              <w:t xml:space="preserve"> </w:t>
            </w:r>
            <w:r>
              <w:rPr>
                <w:sz w:val="20"/>
                <w:szCs w:val="20"/>
                <w:highlight w:val="yellow"/>
                <w:highlightCs w:val="yellow"/>
              </w:rPr>
              <w:t xml:space="preserve">[hours]</w:t>
            </w:r>
          </w:p>
        </w:tc>
        <w:tc>
          <w:tcPr>
            <w:tcW w:type="dxa" w:w="2426"/>
            <w:tcMar>
              <w:top w:type="dxa" w:w="100"/>
              <w:left w:type="dxa" w:w="140"/>
              <w:bottom w:type="dxa" w:w="100"/>
              <w:right w:type="dxa" w:w="140"/>
            </w:tcMar>
            <w:vAlign w:val="center"/>
          </w:tcPr>
          <w:p>
            <w:pPr>
              <w:spacing w:after="0" w:line="260"/>
            </w:pPr>
            <w:r>
              <w:rPr>
                <w:sz w:val="20"/>
                <w:szCs w:val="20"/>
              </w:rPr>
              <w:t xml:space="preserve">None — cleaning is automatic</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Time to produce the enrolment summary</w:t>
            </w:r>
          </w:p>
        </w:tc>
        <w:tc>
          <w:tcPr>
            <w:tcW w:type="dxa" w:w="2400"/>
            <w:tcMar>
              <w:top w:type="dxa" w:w="100"/>
              <w:left w:type="dxa" w:w="140"/>
              <w:bottom w:type="dxa" w:w="100"/>
              <w:right w:type="dxa" w:w="140"/>
            </w:tcMar>
            <w:vAlign w:val="center"/>
          </w:tcPr>
          <w:p>
            <w:pPr>
              <w:spacing w:after="0" w:line="260"/>
            </w:pPr>
            <w:r>
              <w:rPr>
                <w:sz w:val="20"/>
                <w:szCs w:val="20"/>
                <w:highlight w:val="yellow"/>
                <w:highlightCs w:val="yellow"/>
              </w:rPr>
              <w:t xml:space="preserve">[N]</w:t>
            </w:r>
            <w:r>
              <w:rPr>
                <w:sz w:val="20"/>
                <w:szCs w:val="20"/>
              </w:rPr>
              <w:t xml:space="preserve"> hours</w:t>
            </w:r>
          </w:p>
        </w:tc>
        <w:tc>
          <w:tcPr>
            <w:tcW w:type="dxa" w:w="2426"/>
            <w:tcMar>
              <w:top w:type="dxa" w:w="100"/>
              <w:left w:type="dxa" w:w="140"/>
              <w:bottom w:type="dxa" w:w="100"/>
              <w:right w:type="dxa" w:w="140"/>
            </w:tcMar>
            <w:vAlign w:val="center"/>
          </w:tcPr>
          <w:p>
            <w:pPr>
              <w:spacing w:after="0" w:line="260"/>
            </w:pPr>
            <w:r>
              <w:rPr>
                <w:sz w:val="20"/>
                <w:szCs w:val="20"/>
                <w:highlight w:val="yellow"/>
                <w:highlightCs w:val="yellow"/>
              </w:rPr>
              <w:t xml:space="preserve">[N]</w:t>
            </w:r>
            <w:r>
              <w:rPr>
                <w:sz w:val="20"/>
                <w:szCs w:val="20"/>
              </w:rPr>
              <w:t xml:space="preserve"> minutes</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How current the figures are when presented</w:t>
            </w:r>
          </w:p>
        </w:tc>
        <w:tc>
          <w:tcPr>
            <w:tcW w:type="dxa" w:w="2400"/>
            <w:tcMar>
              <w:top w:type="dxa" w:w="100"/>
              <w:left w:type="dxa" w:w="140"/>
              <w:bottom w:type="dxa" w:w="100"/>
              <w:right w:type="dxa" w:w="140"/>
            </w:tcMar>
            <w:vAlign w:val="center"/>
          </w:tcPr>
          <w:p>
            <w:pPr>
              <w:spacing w:after="0" w:line="260"/>
            </w:pPr>
            <w:r>
              <w:rPr>
                <w:sz w:val="20"/>
                <w:szCs w:val="20"/>
                <w:highlight w:val="yellow"/>
                <w:highlightCs w:val="yellow"/>
              </w:rPr>
              <w:t xml:space="preserve">[e.g. a week old]</w:t>
            </w:r>
          </w:p>
        </w:tc>
        <w:tc>
          <w:tcPr>
            <w:tcW w:type="dxa" w:w="2426"/>
            <w:tcMar>
              <w:top w:type="dxa" w:w="100"/>
              <w:left w:type="dxa" w:w="140"/>
              <w:bottom w:type="dxa" w:w="100"/>
              <w:right w:type="dxa" w:w="140"/>
            </w:tcMar>
            <w:vAlign w:val="center"/>
          </w:tcPr>
          <w:p>
            <w:pPr>
              <w:spacing w:after="0" w:line="260"/>
            </w:pPr>
            <w:r>
              <w:rPr>
                <w:sz w:val="20"/>
                <w:szCs w:val="20"/>
                <w:highlight w:val="yellow"/>
                <w:highlightCs w:val="yellow"/>
              </w:rPr>
              <w:t xml:space="preserve">[e.g. same day]</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highlight w:val="yellow"/>
                <w:highlightCs w:val="yellow"/>
              </w:rPr>
              <w:t xml:space="preserve">[OTHER MEASURE]</w:t>
            </w:r>
          </w:p>
        </w:tc>
        <w:tc>
          <w:tcPr>
            <w:tcW w:type="dxa" w:w="2400"/>
            <w:tcMar>
              <w:top w:type="dxa" w:w="100"/>
              <w:left w:type="dxa" w:w="140"/>
              <w:bottom w:type="dxa" w:w="100"/>
              <w:right w:type="dxa" w:w="140"/>
            </w:tcMar>
            <w:vAlign w:val="center"/>
          </w:tcPr>
          <w:p>
            <w:pPr>
              <w:spacing w:after="0" w:line="260"/>
            </w:pPr>
            <w:r>
              <w:rPr>
                <w:sz w:val="20"/>
                <w:szCs w:val="20"/>
                <w:highlight w:val="yellow"/>
                <w:highlightCs w:val="yellow"/>
              </w:rPr>
              <w:t xml:space="preserve">[VALUE]</w:t>
            </w:r>
          </w:p>
        </w:tc>
        <w:tc>
          <w:tcPr>
            <w:tcW w:type="dxa" w:w="2426"/>
            <w:tcMar>
              <w:top w:type="dxa" w:w="100"/>
              <w:left w:type="dxa" w:w="140"/>
              <w:bottom w:type="dxa" w:w="100"/>
              <w:right w:type="dxa" w:w="140"/>
            </w:tcMar>
            <w:vAlign w:val="center"/>
          </w:tcPr>
          <w:p>
            <w:pPr>
              <w:spacing w:after="0" w:line="260"/>
            </w:pPr>
            <w:r>
              <w:rPr>
                <w:sz w:val="20"/>
                <w:szCs w:val="20"/>
                <w:highlight w:val="yellow"/>
                <w:highlightCs w:val="yellow"/>
              </w:rPr>
              <w:t xml:space="preserve">[VALUE]</w:t>
            </w:r>
          </w:p>
        </w:tc>
      </w:tr>
    </w:tbl>
    <w:p>
      <w:pPr>
        <w:spacing w:after="200"/>
      </w:pPr>
    </w:p>
    <w:p>
      <w:pPr>
        <w:spacing w:after="180" w:line="288"/>
      </w:pPr>
      <w:r>
        <w:rPr>
          <w:b/>
          <w:bCs/>
          <w:highlight w:val="yellow"/>
          <w:highlightCs w:val="yellow"/>
        </w:rPr>
        <w:t xml:space="preserve">[ADD ANY OUTCOME THAT IS NOT A TIME SAVING — something the analysis showed that was not known before, or a decision made differently as a result. A specific incident is more persuasive than an average.]</w:t>
      </w:r>
    </w:p>
    <w:p>
      <w:pPr>
        <w:pStyle w:val="Heading1"/>
        <w:spacing w:after="160" w:before="360"/>
      </w:pPr>
      <w:r>
        <w:t xml:space="preserve">In their words</w:t>
      </w:r>
    </w:p>
    <w:p>
      <w:pPr>
        <w:pBdr>
          <w:left w:val="single" w:color="B0B4C0" w:sz="18" w:space="12"/>
        </w:pBdr>
        <w:spacing w:after="140" w:before="160" w:line="300"/>
        <w:ind w:left="480"/>
      </w:pPr>
      <w:r>
        <w:rPr>
          <w:i/>
          <w:iCs/>
          <w:color w:val="2A2A3E"/>
          <w:sz w:val="26"/>
          <w:szCs w:val="26"/>
        </w:rPr>
        <w:t xml:space="preserve">"[QUOTE — the customer’s own words. What the week looks like now compared with before, and what they would say to another small business in the same position.]"</w:t>
      </w:r>
    </w:p>
    <w:p>
      <w:pPr>
        <w:spacing w:after="180" w:line="288"/>
        <w:ind w:left="480"/>
      </w:pPr>
      <w:r>
        <w:t xml:space="preserve">— </w:t>
      </w:r>
      <w:r>
        <w:rPr>
          <w:b/>
          <w:bCs/>
          <w:highlight w:val="yellow"/>
          <w:highlightCs w:val="yellow"/>
        </w:rPr>
        <w:t xml:space="preserve">[NAME]</w:t>
      </w:r>
      <w:r>
        <w:t xml:space="preserve">, </w:t>
      </w:r>
      <w:r>
        <w:rPr>
          <w:b/>
          <w:bCs/>
          <w:highlight w:val="yellow"/>
          <w:highlightCs w:val="yellow"/>
        </w:rPr>
        <w:t xml:space="preserve">[JOB TITLE]</w:t>
      </w:r>
      <w:r>
        <w:t xml:space="preserve">, Technogence</w:t>
      </w:r>
    </w:p>
    <w:p>
      <w:r>
        <w:br w:type="page"/>
      </w:r>
    </w:p>
    <w:p>
      <w:pPr>
        <w:pStyle w:val="Heading1"/>
        <w:spacing w:after="160" w:before="360"/>
      </w:pPr>
      <w:r>
        <w:t xml:space="preserve">Approval</w:t>
      </w:r>
    </w:p>
    <w:p>
      <w:pPr>
        <w:spacing w:after="180" w:line="288"/>
      </w:pPr>
      <w:r>
        <w:t xml:space="preserve">I confirm that the statements and figures in this case study are accurate, and I authorise Technogence to be named, and this document to be used, in QuickInsight’s marketing materials and in applications to funding bodies, awards and government schemes.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AF0" w:color="auto" w:val="clear"/>
            <w:tcMar>
              <w:top w:type="dxa" w:w="100"/>
              <w:left w:type="dxa" w:w="140"/>
              <w:bottom w:type="dxa" w:w="100"/>
              <w:right w:type="dxa" w:w="140"/>
            </w:tcMar>
            <w:vAlign w:val="center"/>
          </w:tcPr>
          <w:p>
            <w:pPr>
              <w:spacing w:after="0" w:line="260"/>
            </w:pPr>
            <w:r>
              <w:rPr>
                <w:b/>
                <w:bCs/>
                <w:sz w:val="20"/>
                <w:szCs w:val="20"/>
              </w:rPr>
              <w:t xml:space="preserve">For Technogence</w:t>
            </w:r>
          </w:p>
        </w:tc>
        <w:tc>
          <w:tcPr>
            <w:tcW w:type="dxa" w:w="4513"/>
            <w:shd w:fill="E8EAF0" w:color="auto" w:val="clear"/>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Signature:</w:t>
            </w:r>
          </w:p>
        </w:tc>
        <w:tc>
          <w:tcPr>
            <w:tcW w:type="dxa" w:w="4513"/>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p>
        </w:tc>
        <w:tc>
          <w:tcPr>
            <w:tcW w:type="dxa" w:w="4513"/>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Name:  </w:t>
            </w:r>
            <w:r>
              <w:rPr>
                <w:sz w:val="20"/>
                <w:szCs w:val="20"/>
                <w:highlight w:val="yellow"/>
                <w:highlightCs w:val="yellow"/>
              </w:rPr>
              <w:t xml:space="preserve">[FULL NAME]</w:t>
            </w:r>
          </w:p>
        </w:tc>
        <w:tc>
          <w:tcPr>
            <w:tcW w:type="dxa" w:w="4513"/>
            <w:tcMar>
              <w:top w:type="dxa" w:w="100"/>
              <w:left w:type="dxa" w:w="140"/>
              <w:bottom w:type="dxa" w:w="100"/>
              <w:right w:type="dxa" w:w="140"/>
            </w:tcMar>
            <w:vAlign w:val="center"/>
          </w:tcPr>
          <w:p>
            <w:pPr>
              <w:spacing w:after="0" w:line="260"/>
            </w:pPr>
            <w:r>
              <w:rPr>
                <w:sz w:val="20"/>
                <w:szCs w:val="20"/>
              </w:rPr>
              <w:t xml:space="preserve">Title:  </w:t>
            </w:r>
            <w:r>
              <w:rPr>
                <w:sz w:val="20"/>
                <w:szCs w:val="20"/>
                <w:highlight w:val="yellow"/>
                <w:highlightCs w:val="yellow"/>
              </w:rPr>
              <w:t xml:space="preserve">[JOB TITLE]</w:t>
            </w: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Email:  </w:t>
            </w:r>
            <w:r>
              <w:rPr>
                <w:sz w:val="20"/>
                <w:szCs w:val="20"/>
                <w:highlight w:val="yellow"/>
                <w:highlightCs w:val="yellow"/>
              </w:rPr>
              <w:t xml:space="preserve">[EMAIL]</w:t>
            </w:r>
          </w:p>
        </w:tc>
        <w:tc>
          <w:tcPr>
            <w:tcW w:type="dxa" w:w="4513"/>
            <w:tcMar>
              <w:top w:type="dxa" w:w="100"/>
              <w:left w:type="dxa" w:w="140"/>
              <w:bottom w:type="dxa" w:w="100"/>
              <w:right w:type="dxa" w:w="140"/>
            </w:tcMar>
            <w:vAlign w:val="center"/>
          </w:tcPr>
          <w:p>
            <w:pPr>
              <w:spacing w:after="0" w:line="260"/>
            </w:pPr>
            <w:r>
              <w:rPr>
                <w:sz w:val="20"/>
                <w:szCs w:val="20"/>
              </w:rPr>
              <w:t xml:space="preserve">Phone:  </w:t>
            </w:r>
            <w:r>
              <w:rPr>
                <w:sz w:val="20"/>
                <w:szCs w:val="20"/>
                <w:highlight w:val="yellow"/>
                <w:highlightCs w:val="yellow"/>
              </w:rPr>
              <w:t xml:space="preserve">[PHONE]</w:t>
            </w: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Date:</w:t>
            </w:r>
          </w:p>
        </w:tc>
        <w:tc>
          <w:tcPr>
            <w:tcW w:type="dxa" w:w="4513"/>
            <w:tcMar>
              <w:top w:type="dxa" w:w="100"/>
              <w:left w:type="dxa" w:w="140"/>
              <w:bottom w:type="dxa" w:w="100"/>
              <w:right w:type="dxa" w:w="140"/>
            </w:tcMar>
            <w:vAlign w:val="center"/>
          </w:tcPr>
          <w:p>
            <w:pPr>
              <w:spacing w:after="0" w:line="260"/>
            </w:pPr>
            <w:r>
              <w:rPr>
                <w:sz w:val="20"/>
                <w:szCs w:val="20"/>
              </w:rPr>
              <w:t xml:space="preserve">Company stamp (if used):</w:t>
            </w:r>
          </w:p>
        </w:tc>
      </w:tr>
    </w:tbl>
    <w:p>
      <w:pPr>
        <w:spacing w:after="2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2E"/>
      <w:sz w:val="26"/>
      <w:szCs w:val="26"/>
    </w:rPr>
  </w:style>
  <w:style w:type="paragraph" w:styleId="Heading2">
    <w:name w:val="Heading 2"/>
    <w:basedOn w:val="Normal"/>
    <w:next w:val="Normal"/>
    <w:qFormat/>
    <w:rPr>
      <w:rFonts w:ascii="Calibri" w:cs="Calibri" w:eastAsia="Calibri" w:hAnsi="Calibri"/>
      <w:b/>
      <w:bCs/>
      <w:color w:val="333344"/>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2026-08-03T03:13:53.494Z</dcterms:created>
  <dcterms:modified xsi:type="dcterms:W3CDTF">2026-08-03T03:13:53.494Z</dcterms:modified>
</cp:coreProperties>
</file>

<file path=docProps/custom.xml><?xml version="1.0" encoding="utf-8"?>
<Properties xmlns="http://schemas.openxmlformats.org/officeDocument/2006/custom-properties" xmlns:vt="http://schemas.openxmlformats.org/officeDocument/2006/docPropsVTypes"/>
</file>