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66677"/>
          <w:sz w:val="20"/>
          <w:szCs w:val="20"/>
        </w:rPr>
        <w:t xml:space="preserve">CASE STUDY</w:t>
      </w:r>
    </w:p>
    <w:p>
      <w:pPr>
        <w:spacing w:after="80"/>
      </w:pPr>
      <w:r>
        <w:rPr>
          <w:b/>
          <w:bCs/>
          <w:color w:val="1A1A2E"/>
          <w:sz w:val="40"/>
          <w:szCs w:val="40"/>
        </w:rPr>
        <w:t xml:space="preserve">ClickNsend</w:t>
      </w:r>
    </w:p>
    <w:p>
      <w:pPr>
        <w:spacing w:after="200"/>
      </w:pPr>
      <w:r>
        <w:rPr>
          <w:color w:val="444455"/>
          <w:sz w:val="24"/>
          <w:szCs w:val="24"/>
        </w:rPr>
        <w:t xml:space="preserve">Parcel delivery · InPost vendor · Aberdeen, United Kingdom</w:t>
      </w:r>
    </w:p>
    <w:p>
      <w:pPr>
        <w:spacing w:after="200" w:line="300"/>
      </w:pPr>
      <w:r>
        <w:rPr>
          <w:color w:val="2A2A3E"/>
          <w:sz w:val="25"/>
          <w:szCs w:val="25"/>
        </w:rPr>
        <w:t xml:space="preserve">The owner of a ten-person parcel business had never used a BI tool and describes his Excel as limited. He now builds his own analysis every week — and uses it to pitch for the work that will grow the company.</w:t>
      </w:r>
    </w:p>
    <w:p>
      <w:pPr>
        <w:pBdr>
          <w:bottom w:val="single" w:color="999999" w:sz="6" w:space="6"/>
        </w:pBdr>
        <w:spacing w:after="320"/>
      </w:pPr>
    </w:p>
    <w:p>
      <w:pPr>
        <w:pBdr>
          <w:bottom w:val="single" w:color="999999" w:sz="6" w:space="6"/>
        </w:pBdr>
        <w:spacing w:after="320"/>
      </w:pPr>
      <w:r>
        <w:rPr>
          <w:i/>
          <w:iCs/>
          <w:color w:val="8A1C1C"/>
          <w:sz w:val="20"/>
          <w:szCs w:val="20"/>
        </w:rPr>
        <w:t xml:space="preserve">DRAFT FOR APPROVAL — NOT YET VERIFIED. Every highlighted field must be completed and confirmed by ClickNsend. This document must not be published, submitted to any third party, or used as evidence until ClickNsend has approved it in writing using the sign-off block on the last page.</w:t>
      </w:r>
    </w:p>
    <w:p>
      <w:pPr>
        <w:pStyle w:val="Heading1"/>
        <w:spacing w:after="160" w:before="360"/>
      </w:pPr>
      <w:r>
        <w:t xml:space="preserve">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val="false"/>
        </w:trPr>
        <w:tc>
          <w:tcPr>
            <w:tcW w:type="dxa" w:w="2600"/>
            <w:tcMar>
              <w:top w:type="dxa" w:w="100"/>
              <w:left w:type="dxa" w:w="140"/>
              <w:bottom w:type="dxa" w:w="100"/>
              <w:right w:type="dxa" w:w="140"/>
            </w:tcMar>
            <w:vAlign w:val="center"/>
          </w:tcPr>
          <w:p>
            <w:pPr>
              <w:spacing w:after="0" w:line="260"/>
            </w:pPr>
            <w:r>
              <w:rPr>
                <w:b/>
                <w:bCs/>
                <w:sz w:val="20"/>
                <w:szCs w:val="20"/>
              </w:rPr>
              <w:t xml:space="preserve">Sector</w:t>
            </w:r>
          </w:p>
        </w:tc>
        <w:tc>
          <w:tcPr>
            <w:tcW w:type="dxa" w:w="6426"/>
            <w:tcMar>
              <w:top w:type="dxa" w:w="100"/>
              <w:left w:type="dxa" w:w="140"/>
              <w:bottom w:type="dxa" w:w="100"/>
              <w:right w:type="dxa" w:w="140"/>
            </w:tcMar>
            <w:vAlign w:val="center"/>
          </w:tcPr>
          <w:p>
            <w:pPr>
              <w:spacing w:after="0" w:line="260"/>
            </w:pPr>
            <w:r>
              <w:rPr>
                <w:b w:val="false"/>
                <w:bCs w:val="false"/>
                <w:sz w:val="20"/>
                <w:szCs w:val="20"/>
              </w:rPr>
              <w:t xml:space="preserve">Parcel delivery — vendor for InPost</w:t>
            </w:r>
          </w:p>
        </w:tc>
      </w:tr>
      <w:tr>
        <w:trPr>
          <w:tblHeader w:val="false"/>
        </w:trPr>
        <w:tc>
          <w:tcPr>
            <w:tcW w:type="dxa" w:w="2600"/>
            <w:tcMar>
              <w:top w:type="dxa" w:w="100"/>
              <w:left w:type="dxa" w:w="140"/>
              <w:bottom w:type="dxa" w:w="100"/>
              <w:right w:type="dxa" w:w="140"/>
            </w:tcMar>
            <w:vAlign w:val="center"/>
          </w:tcPr>
          <w:p>
            <w:pPr>
              <w:spacing w:after="0" w:line="260"/>
            </w:pPr>
            <w:r>
              <w:rPr>
                <w:b/>
                <w:bCs/>
                <w:sz w:val="20"/>
                <w:szCs w:val="20"/>
              </w:rPr>
              <w:t xml:space="preserve">Location</w:t>
            </w:r>
          </w:p>
        </w:tc>
        <w:tc>
          <w:tcPr>
            <w:tcW w:type="dxa" w:w="6426"/>
            <w:tcMar>
              <w:top w:type="dxa" w:w="100"/>
              <w:left w:type="dxa" w:w="140"/>
              <w:bottom w:type="dxa" w:w="100"/>
              <w:right w:type="dxa" w:w="140"/>
            </w:tcMar>
            <w:vAlign w:val="center"/>
          </w:tcPr>
          <w:p>
            <w:pPr>
              <w:spacing w:after="0" w:line="260"/>
            </w:pPr>
            <w:r>
              <w:rPr>
                <w:b w:val="false"/>
                <w:bCs w:val="false"/>
                <w:sz w:val="20"/>
                <w:szCs w:val="20"/>
              </w:rPr>
              <w:t xml:space="preserve">Aberdeen, United Kingdom</w:t>
            </w:r>
          </w:p>
        </w:tc>
      </w:tr>
      <w:tr>
        <w:trPr>
          <w:tblHeader w:val="false"/>
        </w:trPr>
        <w:tc>
          <w:tcPr>
            <w:tcW w:type="dxa" w:w="2600"/>
            <w:tcMar>
              <w:top w:type="dxa" w:w="100"/>
              <w:left w:type="dxa" w:w="140"/>
              <w:bottom w:type="dxa" w:w="100"/>
              <w:right w:type="dxa" w:w="140"/>
            </w:tcMar>
            <w:vAlign w:val="center"/>
          </w:tcPr>
          <w:p>
            <w:pPr>
              <w:spacing w:after="0" w:line="260"/>
            </w:pPr>
            <w:r>
              <w:rPr>
                <w:b/>
                <w:bCs/>
                <w:sz w:val="20"/>
                <w:szCs w:val="20"/>
              </w:rPr>
              <w:t xml:space="preserve">Size</w:t>
            </w:r>
          </w:p>
        </w:tc>
        <w:tc>
          <w:tcPr>
            <w:tcW w:type="dxa" w:w="6426"/>
            <w:tcMar>
              <w:top w:type="dxa" w:w="100"/>
              <w:left w:type="dxa" w:w="140"/>
              <w:bottom w:type="dxa" w:w="100"/>
              <w:right w:type="dxa" w:w="140"/>
            </w:tcMar>
            <w:vAlign w:val="center"/>
          </w:tcPr>
          <w:p>
            <w:pPr>
              <w:spacing w:after="0" w:line="260"/>
            </w:pPr>
            <w:r>
              <w:rPr>
                <w:b w:val="false"/>
                <w:bCs w:val="false"/>
                <w:sz w:val="20"/>
                <w:szCs w:val="20"/>
              </w:rPr>
              <w:t xml:space="preserve">10 employees, one depot</w:t>
            </w:r>
          </w:p>
        </w:tc>
      </w:tr>
      <w:tr>
        <w:trPr>
          <w:tblHeader w:val="false"/>
        </w:trPr>
        <w:tc>
          <w:tcPr>
            <w:tcW w:type="dxa" w:w="2600"/>
            <w:tcMar>
              <w:top w:type="dxa" w:w="100"/>
              <w:left w:type="dxa" w:w="140"/>
              <w:bottom w:type="dxa" w:w="100"/>
              <w:right w:type="dxa" w:w="140"/>
            </w:tcMar>
            <w:vAlign w:val="center"/>
          </w:tcPr>
          <w:p>
            <w:pPr>
              <w:spacing w:after="0" w:line="260"/>
            </w:pPr>
            <w:r>
              <w:rPr>
                <w:b/>
                <w:bCs/>
                <w:sz w:val="20"/>
                <w:szCs w:val="20"/>
              </w:rPr>
              <w:t xml:space="preserve">Using QuickInsight since</w:t>
            </w:r>
          </w:p>
        </w:tc>
        <w:tc>
          <w:tcPr>
            <w:tcW w:type="dxa" w:w="6426"/>
            <w:tcMar>
              <w:top w:type="dxa" w:w="100"/>
              <w:left w:type="dxa" w:w="140"/>
              <w:bottom w:type="dxa" w:w="100"/>
              <w:right w:type="dxa" w:w="140"/>
            </w:tcMar>
            <w:vAlign w:val="center"/>
          </w:tcPr>
          <w:p>
            <w:pPr>
              <w:spacing w:after="0" w:line="260"/>
            </w:pPr>
            <w:r>
              <w:rPr>
                <w:b w:val="false"/>
                <w:bCs w:val="false"/>
                <w:sz w:val="20"/>
                <w:szCs w:val="20"/>
              </w:rPr>
              <w:t xml:space="preserve">20 June 2026</w:t>
            </w:r>
          </w:p>
        </w:tc>
      </w:tr>
      <w:tr>
        <w:trPr>
          <w:tblHeader w:val="false"/>
        </w:trPr>
        <w:tc>
          <w:tcPr>
            <w:tcW w:type="dxa" w:w="2600"/>
            <w:tcMar>
              <w:top w:type="dxa" w:w="100"/>
              <w:left w:type="dxa" w:w="140"/>
              <w:bottom w:type="dxa" w:w="100"/>
              <w:right w:type="dxa" w:w="140"/>
            </w:tcMar>
            <w:vAlign w:val="center"/>
          </w:tcPr>
          <w:p>
            <w:pPr>
              <w:spacing w:after="0" w:line="260"/>
            </w:pPr>
            <w:r>
              <w:rPr>
                <w:b/>
                <w:bCs/>
                <w:sz w:val="20"/>
                <w:szCs w:val="20"/>
              </w:rPr>
              <w:t xml:space="preserve">Prior analytics experience</w:t>
            </w:r>
          </w:p>
        </w:tc>
        <w:tc>
          <w:tcPr>
            <w:tcW w:type="dxa" w:w="6426"/>
            <w:tcMar>
              <w:top w:type="dxa" w:w="100"/>
              <w:left w:type="dxa" w:w="140"/>
              <w:bottom w:type="dxa" w:w="100"/>
              <w:right w:type="dxa" w:w="140"/>
            </w:tcMar>
            <w:vAlign w:val="center"/>
          </w:tcPr>
          <w:p>
            <w:pPr>
              <w:spacing w:after="0" w:line="260"/>
            </w:pPr>
            <w:r>
              <w:rPr>
                <w:b w:val="false"/>
                <w:bCs w:val="false"/>
                <w:sz w:val="20"/>
                <w:szCs w:val="20"/>
              </w:rPr>
              <w:t xml:space="preserve">None — no BI tool had been used before; self-described limited Excel</w:t>
            </w:r>
          </w:p>
        </w:tc>
      </w:tr>
      <w:tr>
        <w:trPr>
          <w:tblHeader w:val="false"/>
        </w:trPr>
        <w:tc>
          <w:tcPr>
            <w:tcW w:type="dxa" w:w="2600"/>
            <w:tcMar>
              <w:top w:type="dxa" w:w="100"/>
              <w:left w:type="dxa" w:w="140"/>
              <w:bottom w:type="dxa" w:w="100"/>
              <w:right w:type="dxa" w:w="140"/>
            </w:tcMar>
            <w:vAlign w:val="center"/>
          </w:tcPr>
          <w:p>
            <w:pPr>
              <w:spacing w:after="0" w:line="260"/>
            </w:pPr>
            <w:r>
              <w:rPr>
                <w:b/>
                <w:bCs/>
                <w:sz w:val="20"/>
                <w:szCs w:val="20"/>
              </w:rPr>
              <w:t xml:space="preserve">Used for</w:t>
            </w:r>
          </w:p>
        </w:tc>
        <w:tc>
          <w:tcPr>
            <w:tcW w:type="dxa" w:w="6426"/>
            <w:tcMar>
              <w:top w:type="dxa" w:w="100"/>
              <w:left w:type="dxa" w:w="140"/>
              <w:bottom w:type="dxa" w:w="100"/>
              <w:right w:type="dxa" w:w="140"/>
            </w:tcMar>
            <w:vAlign w:val="center"/>
          </w:tcPr>
          <w:p>
            <w:pPr>
              <w:spacing w:after="0" w:line="260"/>
            </w:pPr>
            <w:r>
              <w:rPr>
                <w:b w:val="false"/>
                <w:bCs w:val="false"/>
                <w:sz w:val="20"/>
                <w:szCs w:val="20"/>
              </w:rPr>
              <w:t xml:space="preserve">Per-employee delivery performance, and building the figures behind new business pitches</w:t>
            </w:r>
          </w:p>
        </w:tc>
      </w:tr>
      <w:tr>
        <w:trPr>
          <w:tblHeader w:val="false"/>
        </w:trPr>
        <w:tc>
          <w:tcPr>
            <w:tcW w:type="dxa" w:w="2600"/>
            <w:tcMar>
              <w:top w:type="dxa" w:w="100"/>
              <w:left w:type="dxa" w:w="140"/>
              <w:bottom w:type="dxa" w:w="100"/>
              <w:right w:type="dxa" w:w="140"/>
            </w:tcMar>
            <w:vAlign w:val="center"/>
          </w:tcPr>
          <w:p>
            <w:pPr>
              <w:spacing w:after="0" w:line="260"/>
            </w:pPr>
            <w:r>
              <w:rPr>
                <w:b/>
                <w:bCs/>
                <w:sz w:val="20"/>
                <w:szCs w:val="20"/>
              </w:rPr>
              <w:t xml:space="preserve">Data source</w:t>
            </w:r>
          </w:p>
        </w:tc>
        <w:tc>
          <w:tcPr>
            <w:tcW w:type="dxa" w:w="6426"/>
            <w:tcMar>
              <w:top w:type="dxa" w:w="100"/>
              <w:left w:type="dxa" w:w="140"/>
              <w:bottom w:type="dxa" w:w="100"/>
              <w:right w:type="dxa" w:w="140"/>
            </w:tcMar>
            <w:vAlign w:val="center"/>
          </w:tcPr>
          <w:p>
            <w:pPr>
              <w:spacing w:after="0" w:line="260"/>
            </w:pPr>
            <w:r>
              <w:rPr>
                <w:b w:val="false"/>
                <w:bCs w:val="false"/>
                <w:sz w:val="20"/>
                <w:szCs w:val="20"/>
              </w:rPr>
              <w:t xml:space="preserve">Daily manifest exports from the courier platform, as Excel files</w:t>
            </w:r>
          </w:p>
        </w:tc>
      </w:tr>
    </w:tbl>
    <w:p>
      <w:pPr>
        <w:pStyle w:val="Heading1"/>
        <w:spacing w:after="160" w:before="360"/>
      </w:pPr>
      <w:r>
        <w:t xml:space="preserve">A one-depot operation with something to prove</w:t>
      </w:r>
    </w:p>
    <w:p>
      <w:pPr>
        <w:spacing w:after="180" w:line="288"/>
      </w:pPr>
      <w:r>
        <w:t xml:space="preserve">ClickNsend delivers parcels in Aberdeen as a vendor for InPost. Ten employees, one depot, and a straightforward business: parcels arrive, parcels go out, and the operation is judged on how reliably that happens.</w:t>
      </w:r>
    </w:p>
    <w:p>
      <w:pPr>
        <w:spacing w:after="180" w:line="288"/>
      </w:pPr>
      <w:r>
        <w:t xml:space="preserve">The owner wanted to grow — to take on further depots and win work from other clients. In this industry that growth is not won on price alone. It is won by demonstrating that you already run a tight operation: that your delivery rates hold up, that your returns are low, that your team performs consistently.</w:t>
      </w:r>
    </w:p>
    <w:p>
      <w:pPr>
        <w:spacing w:after="180" w:line="288"/>
      </w:pPr>
      <w:r>
        <w:t xml:space="preserve">Performance was, in effect, the product being sold. And it was invisible.</w:t>
      </w:r>
    </w:p>
    <w:p>
      <w:pPr>
        <w:pStyle w:val="Heading1"/>
        <w:spacing w:after="160" w:before="360"/>
      </w:pPr>
      <w:r>
        <w:t xml:space="preserve">The reports he was given, and the questions he could not ask</w:t>
      </w:r>
    </w:p>
    <w:p>
      <w:pPr>
        <w:spacing w:after="180" w:line="288"/>
      </w:pPr>
      <w:r>
        <w:t xml:space="preserve">ClickNsend was not starting from nothing. As a vendor, the owner receives analytics from the courier platform — reports covering the operation, produced to a fixed format.</w:t>
      </w:r>
    </w:p>
    <w:p>
      <w:pPr>
        <w:spacing w:after="180" w:line="288"/>
      </w:pPr>
      <w:r>
        <w:t xml:space="preserve">The limitation is not that those reports are poor. It is that they are finished. They answer the questions somebody else decided were worth answering, in the breakdown somebody else chose, and there is no way to ask them anything new. A report can be read. It cannot be interrogated.</w:t>
      </w:r>
    </w:p>
    <w:p>
      <w:pPr>
        <w:spacing w:after="180" w:line="288"/>
      </w:pPr>
      <w:r>
        <w:t xml:space="preserve">So when the owner wanted to know something the report did not already show — how one employee compared with another over the last three weeks, or how the return rate moved after a change to the rounds — there was nowhere to put the question.</w:t>
      </w:r>
    </w:p>
    <w:p>
      <w:pPr>
        <w:pStyle w:val="Heading1"/>
        <w:spacing w:after="160" w:before="360"/>
      </w:pPr>
      <w:r>
        <w:t xml:space="preserve">Downloading the file and hoping</w:t>
      </w:r>
    </w:p>
    <w:p>
      <w:pPr>
        <w:spacing w:after="180" w:line="288"/>
      </w:pPr>
      <w:r>
        <w:t xml:space="preserve">The alternative was the raw data. Every day the courier platform produced a manifest export as an Excel file, and the owner downloaded it.</w:t>
      </w:r>
    </w:p>
    <w:p>
      <w:pPr>
        <w:spacing w:after="180" w:line="288"/>
      </w:pPr>
      <w:r>
        <w:t xml:space="preserve">What happened next was the problem. He is not an analyst, and describes his own Excel as limited. Producing a view of parcel volumes broken down by employee meant cleaning the file by hand, then building pivot tables from scratch each time somebody asked for a figure — around ten hours a week, in a business where the owner’s time is the scarcest thing there is.</w:t>
      </w:r>
    </w:p>
    <w:p>
      <w:pPr>
        <w:spacing w:after="180" w:line="288"/>
      </w:pPr>
      <w:r>
        <w:t xml:space="preserve">Three things made it slower than it should have been:</w:t>
      </w:r>
    </w:p>
    <w:p>
      <w:pPr>
        <w:pStyle w:val="ListParagraph"/>
        <w:numPr>
          <w:ilvl w:val="0"/>
          <w:numId w:val="2"/>
        </w:numPr>
        <w:spacing w:after="110" w:line="276"/>
      </w:pPr>
      <w:r>
        <w:t xml:space="preserve">Date and status columns came out of the platform in inconsistent formats and had to be cleaned by hand every time.</w:t>
      </w:r>
    </w:p>
    <w:p>
      <w:pPr>
        <w:pStyle w:val="ListParagraph"/>
        <w:numPr>
          <w:ilvl w:val="0"/>
          <w:numId w:val="2"/>
        </w:numPr>
        <w:spacing w:after="110" w:line="276"/>
      </w:pPr>
      <w:r>
        <w:t xml:space="preserve">Building a weekly picture meant stitching that week’s daily exports together manually, which introduced errors.</w:t>
      </w:r>
    </w:p>
    <w:p>
      <w:pPr>
        <w:pStyle w:val="ListParagraph"/>
        <w:numPr>
          <w:ilvl w:val="0"/>
          <w:numId w:val="2"/>
        </w:numPr>
        <w:spacing w:after="110" w:line="276"/>
      </w:pPr>
      <w:r>
        <w:t xml:space="preserve">The pivot tables were understood by one person, so the reporting stopped when that person was unavailable.</w:t>
      </w:r>
    </w:p>
    <w:p>
      <w:pPr>
        <w:spacing w:after="180" w:line="288"/>
      </w:pPr>
      <w:r>
        <w:t xml:space="preserve">The consequence was that ClickNsend knew its totals but not its breakdown. The owner could say how many parcels went out. He could not reliably say how many each employee delivered, how many came back undelivered, or how those figures moved from one week to the next.</w:t>
      </w:r>
    </w:p>
    <w:p>
      <w:pPr>
        <w:pStyle w:val="Heading1"/>
        <w:spacing w:after="160" w:before="360"/>
      </w:pPr>
      <w:r>
        <w:t xml:space="preserve">Why the usual answers did not fit</w:t>
      </w:r>
    </w:p>
    <w:p>
      <w:pPr>
        <w:spacing w:after="180" w:line="288"/>
      </w:pPr>
      <w:r>
        <w:t xml:space="preserve">Hiring an analyst was never realistic for a business of this size — the cost of the role would have been out of proportion to the problem it solved.</w:t>
      </w:r>
    </w:p>
    <w:p>
      <w:pPr>
        <w:spacing w:after="180" w:line="288"/>
      </w:pPr>
      <w:r>
        <w:t xml:space="preserve">A business intelligence tool was not a real option either, and for a more basic reason than price. The owner had never used one. These tools assume somebody who can connect a data source, decide how tables relate to one another and build a model before the first chart appears. That is a skill, it takes time to acquire, and running a depot does not leave that time. Buying the software would not have supplied the person who knows how to use it — and that person would have been him.</w:t>
      </w:r>
    </w:p>
    <w:p>
      <w:pPr>
        <w:pStyle w:val="Heading1"/>
        <w:spacing w:after="160" w:before="360"/>
      </w:pPr>
      <w:r>
        <w:t xml:space="preserve">Learning the four questions</w:t>
      </w:r>
    </w:p>
    <w:p>
      <w:pPr>
        <w:spacing w:after="180" w:line="288"/>
      </w:pPr>
      <w:r>
        <w:t xml:space="preserve">What made the difference was not a feature. It was learning a way to think about the data.</w:t>
      </w:r>
    </w:p>
    <w:p>
      <w:pPr>
        <w:spacing w:after="180" w:line="288"/>
      </w:pPr>
      <w:r>
        <w:t xml:space="preserve">QuickInsight is built around GAFS — grouping, aggregating, filtering and sorting — the idea that almost every business question is made of the same four parts. What do you want to break the numbers down by? Which figure do you want to measure? Which rows should be included? In what order should the answer come back?</w:t>
      </w:r>
    </w:p>
    <w:p>
      <w:pPr>
        <w:spacing w:after="180" w:line="288"/>
      </w:pPr>
      <w:r>
        <w:t xml:space="preserve">"Parcels delivered per employee last week, highest first" is not one question to be looked up. It is four choices: group by employee, count parcels, filter to last week, sort descending. Once that clicks, the number of questions available stops being a fixed list and starts being whatever the owner can think of.</w:t>
      </w:r>
    </w:p>
    <w:p>
      <w:pPr>
        <w:spacing w:after="180" w:line="288"/>
      </w:pPr>
      <w:r>
        <w:t xml:space="preserve">He learned the framework through the product, and now understands how an analytical question is constructed and applies that thinking directly in the Question Builder. He does not write SQL and has not needed to. He uses the plain-English AI SQL feature occasionally for exploratory questions, while the majority of his day-to-day analysis is built by making those four choices himself.</w:t>
      </w:r>
    </w:p>
    <w:p>
      <w:pPr>
        <w:spacing w:after="180" w:line="288"/>
      </w:pPr>
      <w:r>
        <w:t xml:space="preserve">This is the change that matters. He did not get a better report. He stopped needing anyone to produce one.</w:t>
      </w:r>
    </w:p>
    <w:p>
      <w:pPr>
        <w:pStyle w:val="Heading1"/>
        <w:spacing w:after="160" w:before="360"/>
      </w:pPr>
      <w:r>
        <w:t xml:space="preserve">What that looks like in practice</w:t>
      </w:r>
    </w:p>
    <w:p>
      <w:pPr>
        <w:spacing w:after="180" w:line="288"/>
      </w:pPr>
      <w:r>
        <w:t xml:space="preserve">The daily manifest export is loaded straight into the browser — the same Excel file that comes out of the courier platform, with no preparation step, nothing installed and nothing configured first.</w:t>
      </w:r>
    </w:p>
    <w:p>
      <w:pPr>
        <w:spacing w:after="180" w:line="288"/>
      </w:pPr>
      <w:r>
        <w:t xml:space="preserve">The cleaning that used to be done by hand happens automatically when the file loads. QuickInsight reads the spreadsheet, works out which columns are dates and standardises their formats, identifies which numbers can meaningfully be added up, and tidies inconsistent status values so that the same outcome recorded two different ways is counted once rather than twice.</w:t>
      </w:r>
    </w:p>
    <w:p>
      <w:pPr>
        <w:spacing w:after="180" w:line="288"/>
      </w:pPr>
      <w:r>
        <w:t xml:space="preserve">The questions ClickNsend asks are the ones it could never answer before:</w:t>
      </w:r>
    </w:p>
    <w:p>
      <w:pPr>
        <w:pStyle w:val="ListParagraph"/>
        <w:numPr>
          <w:ilvl w:val="0"/>
          <w:numId w:val="2"/>
        </w:numPr>
        <w:spacing w:after="110" w:line="276"/>
      </w:pPr>
      <w:r>
        <w:t xml:space="preserve">Parcels delivered per employee, by day and by week</w:t>
      </w:r>
    </w:p>
    <w:p>
      <w:pPr>
        <w:pStyle w:val="ListParagraph"/>
        <w:numPr>
          <w:ilvl w:val="0"/>
          <w:numId w:val="2"/>
        </w:numPr>
        <w:spacing w:after="110" w:line="276"/>
      </w:pPr>
      <w:r>
        <w:t xml:space="preserve">Parcels undelivered per employee, over the same periods</w:t>
      </w:r>
    </w:p>
    <w:p>
      <w:pPr>
        <w:pStyle w:val="ListParagraph"/>
        <w:numPr>
          <w:ilvl w:val="0"/>
          <w:numId w:val="2"/>
        </w:numPr>
        <w:spacing w:after="110" w:line="276"/>
      </w:pPr>
      <w:r>
        <w:t xml:space="preserve">Percentage of parcels returned</w:t>
      </w:r>
    </w:p>
    <w:p>
      <w:pPr>
        <w:pStyle w:val="ListParagraph"/>
        <w:numPr>
          <w:ilvl w:val="0"/>
          <w:numId w:val="2"/>
        </w:numPr>
        <w:spacing w:after="110" w:line="276"/>
      </w:pPr>
      <w:r>
        <w:t xml:space="preserve">Percentage of parcels collected</w:t>
      </w:r>
    </w:p>
    <w:p>
      <w:pPr>
        <w:spacing w:after="180" w:line="288"/>
      </w:pPr>
      <w:r>
        <w:t xml:space="preserve">The ones asked repeatedly are saved to a dashboard, so they do not need rebuilding. The rest are built as the question arises — which is the point.</w:t>
      </w:r>
    </w:p>
    <w:p>
      <w:pPr>
        <w:pStyle w:val="Heading1"/>
        <w:spacing w:after="160" w:before="360"/>
      </w:pPr>
      <w:r>
        <w:t xml:space="preserve">Turning performance into a pitch</w:t>
      </w:r>
    </w:p>
    <w:p>
      <w:pPr>
        <w:spacing w:after="180" w:line="288"/>
      </w:pPr>
      <w:r>
        <w:t xml:space="preserve">The operational gain was the one ClickNsend went looking for. The commercial one turned out to matter as much.</w:t>
      </w:r>
    </w:p>
    <w:p>
      <w:pPr>
        <w:spacing w:after="180" w:line="288"/>
      </w:pPr>
      <w:r>
        <w:t xml:space="preserve">The same charts that show the owner how his depot is performing are the charts he can put in front of a prospective client. Delivery rates per employee, returns as a percentage of volume, week-on-week consistency — presented as visuals rather than described from memory or promised in a spreadsheet he would have to build first.</w:t>
      </w:r>
    </w:p>
    <w:p>
      <w:pPr>
        <w:spacing w:after="180" w:line="288"/>
      </w:pPr>
      <w:r>
        <w:t xml:space="preserve">For a vendor trying to win a second depot, that is the difference between asserting that the operation performs and demonstrating it.</w:t>
      </w:r>
    </w:p>
    <w:p>
      <w:pPr>
        <w:pStyle w:val="Heading1"/>
        <w:spacing w:after="160" w:before="360"/>
      </w:pPr>
      <w:r>
        <w:t xml:space="preserve">A note on the data itself</w:t>
      </w:r>
    </w:p>
    <w:p>
      <w:pPr>
        <w:spacing w:after="180" w:line="288"/>
      </w:pPr>
      <w:r>
        <w:t xml:space="preserve">Parcel manifests contain recipient names, delivery addresses and contact telephone numbers. As a vendor, ClickNsend is handling the personal data of another company’s customers, which raises rather than lowers the stakes.</w:t>
      </w:r>
    </w:p>
    <w:p>
      <w:pPr>
        <w:spacing w:after="180" w:line="288"/>
      </w:pPr>
      <w:r>
        <w:t xml:space="preserve">This turned out to matter more than expected. QuickInsight does its work inside the web browser on the user’s own computer — the spreadsheet is never uploaded to a server. Where the plain-English question feature is used, only the structure of the data is sent: table names, column names and data types. No data values are sent unless the user explicitly switches that on, and even then anything resembling a name, an identifier, contact details or a sensitive category is excluded automatically, with the user able to switch off any remaining column or individual value first.</w:t>
      </w:r>
    </w:p>
    <w:p>
      <w:pPr>
        <w:spacing w:after="180" w:line="288"/>
      </w:pPr>
      <w:r>
        <w:t xml:space="preserve">The practical effect is that adopting the tool required no data protection review, no supplier security assessment, and no conversation about where the data would be stored. </w:t>
      </w:r>
      <w:r>
        <w:rPr>
          <w:b/>
          <w:bCs/>
          <w:highlight w:val="yellow"/>
          <w:highlightCs w:val="yellow"/>
        </w:rPr>
        <w:t xml:space="preserve">[CONFIRM THIS IS ACCURATE FOR THIS CUSTOMER — DELETE IF A REVIEW WAS IN FACT CARRIED OUT, OR REPLACE WITH WHAT THEY DID.]</w:t>
      </w:r>
    </w:p>
    <w:p>
      <w:pPr>
        <w:pStyle w:val="Heading1"/>
        <w:spacing w:after="160" w:before="360"/>
      </w:pPr>
      <w:r>
        <w:t xml:space="preserve">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26"/>
      </w:tblGrid>
      <w:tr>
        <w:trPr>
          <w:tblHeader/>
        </w:trPr>
        <w:tc>
          <w:tcPr>
            <w:tcW w:type="dxa" w:w="4200"/>
            <w:shd w:fill="E8EAF0" w:color="auto" w:val="clear"/>
            <w:tcMar>
              <w:top w:type="dxa" w:w="100"/>
              <w:left w:type="dxa" w:w="140"/>
              <w:bottom w:type="dxa" w:w="100"/>
              <w:right w:type="dxa" w:w="140"/>
            </w:tcMar>
            <w:vAlign w:val="center"/>
          </w:tcPr>
          <w:p>
            <w:pPr>
              <w:spacing w:after="0" w:line="260"/>
            </w:pPr>
            <w:r>
              <w:rPr>
                <w:b/>
                <w:bCs/>
                <w:sz w:val="20"/>
                <w:szCs w:val="20"/>
              </w:rPr>
              <w:t xml:space="preserve">Measure</w:t>
            </w:r>
          </w:p>
        </w:tc>
        <w:tc>
          <w:tcPr>
            <w:tcW w:type="dxa" w:w="2400"/>
            <w:shd w:fill="E8EAF0" w:color="auto" w:val="clear"/>
            <w:tcMar>
              <w:top w:type="dxa" w:w="100"/>
              <w:left w:type="dxa" w:w="140"/>
              <w:bottom w:type="dxa" w:w="100"/>
              <w:right w:type="dxa" w:w="140"/>
            </w:tcMar>
            <w:vAlign w:val="center"/>
          </w:tcPr>
          <w:p>
            <w:pPr>
              <w:spacing w:after="0" w:line="260"/>
            </w:pPr>
            <w:r>
              <w:rPr>
                <w:b/>
                <w:bCs/>
                <w:sz w:val="20"/>
                <w:szCs w:val="20"/>
              </w:rPr>
              <w:t xml:space="preserve">Before</w:t>
            </w:r>
          </w:p>
        </w:tc>
        <w:tc>
          <w:tcPr>
            <w:tcW w:type="dxa" w:w="2426"/>
            <w:shd w:fill="E8EAF0" w:color="auto" w:val="clear"/>
            <w:tcMar>
              <w:top w:type="dxa" w:w="100"/>
              <w:left w:type="dxa" w:w="140"/>
              <w:bottom w:type="dxa" w:w="100"/>
              <w:right w:type="dxa" w:w="140"/>
            </w:tcMar>
            <w:vAlign w:val="center"/>
          </w:tcPr>
          <w:p>
            <w:pPr>
              <w:spacing w:after="0" w:line="260"/>
            </w:pPr>
            <w:r>
              <w:rPr>
                <w:b/>
                <w:bCs/>
                <w:sz w:val="20"/>
                <w:szCs w:val="20"/>
              </w:rPr>
              <w:t xml:space="preserve">After</w:t>
            </w:r>
          </w:p>
        </w:tc>
      </w:tr>
      <w:tr>
        <w:trPr>
          <w:tblHeader w:val="false"/>
        </w:trPr>
        <w:tc>
          <w:tcPr>
            <w:tcW w:type="dxa" w:w="4200"/>
            <w:tcMar>
              <w:top w:type="dxa" w:w="100"/>
              <w:left w:type="dxa" w:w="140"/>
              <w:bottom w:type="dxa" w:w="100"/>
              <w:right w:type="dxa" w:w="140"/>
            </w:tcMar>
            <w:vAlign w:val="center"/>
          </w:tcPr>
          <w:p>
            <w:pPr>
              <w:spacing w:after="0" w:line="260"/>
            </w:pPr>
            <w:r>
              <w:rPr>
                <w:sz w:val="20"/>
                <w:szCs w:val="20"/>
              </w:rPr>
              <w:t xml:space="preserve">Owner’s time spent on performance reporting</w:t>
            </w:r>
          </w:p>
        </w:tc>
        <w:tc>
          <w:tcPr>
            <w:tcW w:type="dxa" w:w="2400"/>
            <w:tcMar>
              <w:top w:type="dxa" w:w="100"/>
              <w:left w:type="dxa" w:w="140"/>
              <w:bottom w:type="dxa" w:w="100"/>
              <w:right w:type="dxa" w:w="140"/>
            </w:tcMar>
            <w:vAlign w:val="center"/>
          </w:tcPr>
          <w:p>
            <w:pPr>
              <w:spacing w:after="0" w:line="260"/>
            </w:pPr>
            <w:r>
              <w:rPr>
                <w:sz w:val="20"/>
                <w:szCs w:val="20"/>
              </w:rPr>
              <w:t xml:space="preserve">About 10 hours per week</w:t>
            </w:r>
          </w:p>
        </w:tc>
        <w:tc>
          <w:tcPr>
            <w:tcW w:type="dxa" w:w="2426"/>
            <w:tcMar>
              <w:top w:type="dxa" w:w="100"/>
              <w:left w:type="dxa" w:w="140"/>
              <w:bottom w:type="dxa" w:w="100"/>
              <w:right w:type="dxa" w:w="140"/>
            </w:tcMar>
            <w:vAlign w:val="center"/>
          </w:tcPr>
          <w:p>
            <w:pPr>
              <w:spacing w:after="0" w:line="260"/>
            </w:pPr>
            <w:r>
              <w:rPr>
                <w:sz w:val="20"/>
                <w:szCs w:val="20"/>
              </w:rPr>
              <w:t xml:space="preserve">Around 1–2 hours per week</w:t>
            </w:r>
          </w:p>
        </w:tc>
      </w:tr>
      <w:tr>
        <w:trPr>
          <w:tblHeader w:val="false"/>
        </w:trPr>
        <w:tc>
          <w:tcPr>
            <w:tcW w:type="dxa" w:w="4200"/>
            <w:tcMar>
              <w:top w:type="dxa" w:w="100"/>
              <w:left w:type="dxa" w:w="140"/>
              <w:bottom w:type="dxa" w:w="100"/>
              <w:right w:type="dxa" w:w="140"/>
            </w:tcMar>
            <w:vAlign w:val="center"/>
          </w:tcPr>
          <w:p>
            <w:pPr>
              <w:spacing w:after="0" w:line="260"/>
            </w:pPr>
            <w:r>
              <w:rPr>
                <w:sz w:val="20"/>
                <w:szCs w:val="20"/>
              </w:rPr>
              <w:t xml:space="preserve">Questions that can be asked of the data</w:t>
            </w:r>
          </w:p>
        </w:tc>
        <w:tc>
          <w:tcPr>
            <w:tcW w:type="dxa" w:w="2400"/>
            <w:tcMar>
              <w:top w:type="dxa" w:w="100"/>
              <w:left w:type="dxa" w:w="140"/>
              <w:bottom w:type="dxa" w:w="100"/>
              <w:right w:type="dxa" w:w="140"/>
            </w:tcMar>
            <w:vAlign w:val="center"/>
          </w:tcPr>
          <w:p>
            <w:pPr>
              <w:spacing w:after="0" w:line="260"/>
            </w:pPr>
            <w:r>
              <w:rPr>
                <w:sz w:val="20"/>
                <w:szCs w:val="20"/>
              </w:rPr>
              <w:t xml:space="preserve">Whatever the vendor report already showed</w:t>
            </w:r>
          </w:p>
        </w:tc>
        <w:tc>
          <w:tcPr>
            <w:tcW w:type="dxa" w:w="2426"/>
            <w:tcMar>
              <w:top w:type="dxa" w:w="100"/>
              <w:left w:type="dxa" w:w="140"/>
              <w:bottom w:type="dxa" w:w="100"/>
              <w:right w:type="dxa" w:w="140"/>
            </w:tcMar>
            <w:vAlign w:val="center"/>
          </w:tcPr>
          <w:p>
            <w:pPr>
              <w:spacing w:after="0" w:line="260"/>
            </w:pPr>
            <w:r>
              <w:rPr>
                <w:sz w:val="20"/>
                <w:szCs w:val="20"/>
              </w:rPr>
              <w:t xml:space="preserve">Any question the owner can frame, using the Question Builder or AI SQL</w:t>
            </w:r>
          </w:p>
        </w:tc>
      </w:tr>
      <w:tr>
        <w:trPr>
          <w:tblHeader w:val="false"/>
        </w:trPr>
        <w:tc>
          <w:tcPr>
            <w:tcW w:type="dxa" w:w="4200"/>
            <w:tcMar>
              <w:top w:type="dxa" w:w="100"/>
              <w:left w:type="dxa" w:w="140"/>
              <w:bottom w:type="dxa" w:w="100"/>
              <w:right w:type="dxa" w:w="140"/>
            </w:tcMar>
            <w:vAlign w:val="center"/>
          </w:tcPr>
          <w:p>
            <w:pPr>
              <w:spacing w:after="0" w:line="260"/>
            </w:pPr>
            <w:r>
              <w:rPr>
                <w:sz w:val="20"/>
                <w:szCs w:val="20"/>
              </w:rPr>
              <w:t xml:space="preserve">Per-employee delivery figures</w:t>
            </w:r>
          </w:p>
        </w:tc>
        <w:tc>
          <w:tcPr>
            <w:tcW w:type="dxa" w:w="2400"/>
            <w:tcMar>
              <w:top w:type="dxa" w:w="100"/>
              <w:left w:type="dxa" w:w="140"/>
              <w:bottom w:type="dxa" w:w="100"/>
              <w:right w:type="dxa" w:w="140"/>
            </w:tcMar>
            <w:vAlign w:val="center"/>
          </w:tcPr>
          <w:p>
            <w:pPr>
              <w:spacing w:after="0" w:line="260"/>
            </w:pPr>
            <w:r>
              <w:rPr>
                <w:sz w:val="20"/>
                <w:szCs w:val="20"/>
              </w:rPr>
              <w:t xml:space="preserve">Not available</w:t>
            </w:r>
          </w:p>
        </w:tc>
        <w:tc>
          <w:tcPr>
            <w:tcW w:type="dxa" w:w="2426"/>
            <w:tcMar>
              <w:top w:type="dxa" w:w="100"/>
              <w:left w:type="dxa" w:w="140"/>
              <w:bottom w:type="dxa" w:w="100"/>
              <w:right w:type="dxa" w:w="140"/>
            </w:tcMar>
            <w:vAlign w:val="center"/>
          </w:tcPr>
          <w:p>
            <w:pPr>
              <w:spacing w:after="0" w:line="260"/>
            </w:pPr>
            <w:r>
              <w:rPr>
                <w:sz w:val="20"/>
                <w:szCs w:val="20"/>
              </w:rPr>
              <w:t xml:space="preserve">Available by day, week and selected periods</w:t>
            </w:r>
          </w:p>
        </w:tc>
      </w:tr>
      <w:tr>
        <w:trPr>
          <w:tblHeader w:val="false"/>
        </w:trPr>
        <w:tc>
          <w:tcPr>
            <w:tcW w:type="dxa" w:w="4200"/>
            <w:tcMar>
              <w:top w:type="dxa" w:w="100"/>
              <w:left w:type="dxa" w:w="140"/>
              <w:bottom w:type="dxa" w:w="100"/>
              <w:right w:type="dxa" w:w="140"/>
            </w:tcMar>
            <w:vAlign w:val="center"/>
          </w:tcPr>
          <w:p>
            <w:pPr>
              <w:spacing w:after="0" w:line="260"/>
            </w:pPr>
            <w:r>
              <w:rPr>
                <w:sz w:val="20"/>
                <w:szCs w:val="20"/>
              </w:rPr>
              <w:t xml:space="preserve">Preparing a downloaded manifest for analysis</w:t>
            </w:r>
          </w:p>
        </w:tc>
        <w:tc>
          <w:tcPr>
            <w:tcW w:type="dxa" w:w="2400"/>
            <w:tcMar>
              <w:top w:type="dxa" w:w="100"/>
              <w:left w:type="dxa" w:w="140"/>
              <w:bottom w:type="dxa" w:w="100"/>
              <w:right w:type="dxa" w:w="140"/>
            </w:tcMar>
            <w:vAlign w:val="center"/>
          </w:tcPr>
          <w:p>
            <w:pPr>
              <w:spacing w:after="0" w:line="260"/>
            </w:pPr>
            <w:r>
              <w:rPr>
                <w:sz w:val="20"/>
                <w:szCs w:val="20"/>
              </w:rPr>
              <w:t xml:space="preserve">Manual cleaning, then pivot tables</w:t>
            </w:r>
          </w:p>
        </w:tc>
        <w:tc>
          <w:tcPr>
            <w:tcW w:type="dxa" w:w="2426"/>
            <w:tcMar>
              <w:top w:type="dxa" w:w="100"/>
              <w:left w:type="dxa" w:w="140"/>
              <w:bottom w:type="dxa" w:w="100"/>
              <w:right w:type="dxa" w:w="140"/>
            </w:tcMar>
            <w:vAlign w:val="center"/>
          </w:tcPr>
          <w:p>
            <w:pPr>
              <w:spacing w:after="0" w:line="260"/>
            </w:pPr>
            <w:r>
              <w:rPr>
                <w:sz w:val="20"/>
                <w:szCs w:val="20"/>
              </w:rPr>
              <w:t xml:space="preserve">Automatic on upload</w:t>
            </w:r>
          </w:p>
        </w:tc>
      </w:tr>
    </w:tbl>
    <w:p>
      <w:pPr>
        <w:spacing w:after="220"/>
      </w:pPr>
    </w:p>
    <w:p>
      <w:pPr>
        <w:spacing w:after="180" w:line="288"/>
      </w:pPr>
      <w:r>
        <w:t xml:space="preserve">During day-to-day operations, the owner now explores questions that were previously impractical to answer. Instead of relying solely on the courier platform’s fixed reports, he can compare employee performance, monitor delivery and return rates across different time periods, and prepare visual evidence of operational performance for discussions with prospective clients.</w:t>
      </w:r>
    </w:p>
    <w:p>
      <w:pPr>
        <w:spacing w:after="180" w:line="288"/>
      </w:pPr>
      <w:r>
        <w:t xml:space="preserve">While the analysis is already being used to support new business opportunities, no additional depot or contract has yet been secured through its use.</w:t>
      </w:r>
    </w:p>
    <w:p>
      <w:pPr>
        <w:pStyle w:val="Heading1"/>
        <w:spacing w:after="160" w:before="360"/>
      </w:pPr>
      <w:r>
        <w:t xml:space="preserve">In their words</w:t>
      </w:r>
    </w:p>
    <w:p>
      <w:pPr>
        <w:pBdr>
          <w:left w:val="single" w:color="B0B4C0" w:sz="18" w:space="12"/>
        </w:pBdr>
        <w:spacing w:after="140" w:before="160" w:line="300"/>
        <w:ind w:left="480"/>
      </w:pPr>
      <w:r>
        <w:rPr>
          <w:i/>
          <w:iCs/>
          <w:color w:val="2A2A3E"/>
          <w:sz w:val="26"/>
          <w:szCs w:val="26"/>
        </w:rPr>
        <w:t xml:space="preserve">"Before QuickInsight, I depended on Excel and the reports provided by the courier platform, but I could not answer new questions without spending hours rebuilding spreadsheets. Learning the GAFS approach completely changed how I look at my data. I do not need to know SQL or use complicated BI software — I can build the analysis myself and understand how my business is performing whenever I need it. The charts also help me present my business more professionally when discussing new opportunities."</w:t>
      </w:r>
    </w:p>
    <w:p>
      <w:pPr>
        <w:spacing w:after="180" w:line="288"/>
        <w:ind w:left="480"/>
      </w:pPr>
      <w:r>
        <w:t xml:space="preserve">— </w:t>
      </w:r>
      <w:r>
        <w:rPr>
          <w:b/>
          <w:bCs/>
          <w:highlight w:val="yellow"/>
          <w:highlightCs w:val="yellow"/>
        </w:rPr>
        <w:t xml:space="preserve">[NAME]</w:t>
      </w:r>
      <w:r>
        <w:t xml:space="preserve">, Owner, ClickNsend</w:t>
      </w:r>
    </w:p>
    <w:p>
      <w:r>
        <w:br w:type="page"/>
      </w:r>
    </w:p>
    <w:p>
      <w:pPr>
        <w:pStyle w:val="Heading1"/>
        <w:spacing w:after="160" w:before="360"/>
      </w:pPr>
      <w:r>
        <w:t xml:space="preserve">Approval</w:t>
      </w:r>
    </w:p>
    <w:p>
      <w:pPr>
        <w:spacing w:after="180" w:line="288"/>
      </w:pPr>
      <w:r>
        <w:t xml:space="preserve">I confirm that the statements and figures in this case study are accurate, and I authorise ClickNsend to be named, and this document to be used, in QuickInsight’s marketing materials and in applications to funding bodies, awards and government schemes.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8EAF0" w:color="auto" w:val="clear"/>
            <w:tcMar>
              <w:top w:type="dxa" w:w="100"/>
              <w:left w:type="dxa" w:w="140"/>
              <w:bottom w:type="dxa" w:w="100"/>
              <w:right w:type="dxa" w:w="140"/>
            </w:tcMar>
            <w:vAlign w:val="center"/>
          </w:tcPr>
          <w:p>
            <w:pPr>
              <w:spacing w:after="0" w:line="260"/>
            </w:pPr>
            <w:r>
              <w:rPr>
                <w:b/>
                <w:bCs/>
                <w:sz w:val="20"/>
                <w:szCs w:val="20"/>
              </w:rPr>
              <w:t xml:space="preserve">For ClickNsend</w:t>
            </w:r>
          </w:p>
        </w:tc>
        <w:tc>
          <w:tcPr>
            <w:tcW w:type="dxa" w:w="4513"/>
            <w:shd w:fill="E8EAF0" w:color="auto" w:val="clear"/>
            <w:tcMar>
              <w:top w:type="dxa" w:w="100"/>
              <w:left w:type="dxa" w:w="140"/>
              <w:bottom w:type="dxa" w:w="100"/>
              <w:right w:type="dxa" w:w="140"/>
            </w:tcMar>
            <w:vAlign w:val="center"/>
          </w:tcPr>
          <w:p>
            <w:pPr>
              <w:spacing w:after="0" w:line="260"/>
            </w:pPr>
          </w:p>
        </w:tc>
      </w:tr>
      <w:tr>
        <w:trPr>
          <w:tblHeader w:val="false"/>
        </w:trPr>
        <w:tc>
          <w:tcPr>
            <w:tcW w:type="dxa" w:w="4513"/>
            <w:tcMar>
              <w:top w:type="dxa" w:w="100"/>
              <w:left w:type="dxa" w:w="140"/>
              <w:bottom w:type="dxa" w:w="100"/>
              <w:right w:type="dxa" w:w="140"/>
            </w:tcMar>
            <w:vAlign w:val="center"/>
          </w:tcPr>
          <w:p>
            <w:pPr>
              <w:spacing w:after="0" w:line="260"/>
            </w:pPr>
            <w:r>
              <w:rPr>
                <w:sz w:val="20"/>
                <w:szCs w:val="20"/>
              </w:rPr>
              <w:t xml:space="preserve">Signature:</w:t>
            </w:r>
          </w:p>
        </w:tc>
        <w:tc>
          <w:tcPr>
            <w:tcW w:type="dxa" w:w="4513"/>
            <w:tcMar>
              <w:top w:type="dxa" w:w="100"/>
              <w:left w:type="dxa" w:w="140"/>
              <w:bottom w:type="dxa" w:w="100"/>
              <w:right w:type="dxa" w:w="140"/>
            </w:tcMar>
            <w:vAlign w:val="center"/>
          </w:tcPr>
          <w:p>
            <w:pPr>
              <w:spacing w:after="0" w:line="260"/>
            </w:pPr>
          </w:p>
        </w:tc>
      </w:tr>
      <w:tr>
        <w:trPr>
          <w:tblHeader w:val="false"/>
        </w:trPr>
        <w:tc>
          <w:tcPr>
            <w:tcW w:type="dxa" w:w="4513"/>
            <w:tcMar>
              <w:top w:type="dxa" w:w="100"/>
              <w:left w:type="dxa" w:w="140"/>
              <w:bottom w:type="dxa" w:w="100"/>
              <w:right w:type="dxa" w:w="140"/>
            </w:tcMar>
            <w:vAlign w:val="center"/>
          </w:tcPr>
          <w:p>
            <w:pPr>
              <w:spacing w:after="0" w:line="260"/>
            </w:pPr>
          </w:p>
        </w:tc>
        <w:tc>
          <w:tcPr>
            <w:tcW w:type="dxa" w:w="4513"/>
            <w:tcMar>
              <w:top w:type="dxa" w:w="100"/>
              <w:left w:type="dxa" w:w="140"/>
              <w:bottom w:type="dxa" w:w="100"/>
              <w:right w:type="dxa" w:w="140"/>
            </w:tcMar>
            <w:vAlign w:val="center"/>
          </w:tcPr>
          <w:p>
            <w:pPr>
              <w:spacing w:after="0" w:line="260"/>
            </w:pPr>
          </w:p>
        </w:tc>
      </w:tr>
      <w:tr>
        <w:trPr>
          <w:tblHeader w:val="false"/>
        </w:trPr>
        <w:tc>
          <w:tcPr>
            <w:tcW w:type="dxa" w:w="4513"/>
            <w:tcMar>
              <w:top w:type="dxa" w:w="100"/>
              <w:left w:type="dxa" w:w="140"/>
              <w:bottom w:type="dxa" w:w="100"/>
              <w:right w:type="dxa" w:w="140"/>
            </w:tcMar>
            <w:vAlign w:val="center"/>
          </w:tcPr>
          <w:p>
            <w:pPr>
              <w:spacing w:after="0" w:line="260"/>
            </w:pPr>
            <w:r>
              <w:rPr>
                <w:sz w:val="20"/>
                <w:szCs w:val="20"/>
              </w:rPr>
              <w:t xml:space="preserve">Name:  </w:t>
            </w:r>
            <w:r>
              <w:rPr>
                <w:sz w:val="20"/>
                <w:szCs w:val="20"/>
                <w:highlight w:val="yellow"/>
                <w:highlightCs w:val="yellow"/>
              </w:rPr>
              <w:t xml:space="preserve">[FULL NAME]</w:t>
            </w:r>
          </w:p>
        </w:tc>
        <w:tc>
          <w:tcPr>
            <w:tcW w:type="dxa" w:w="4513"/>
            <w:tcMar>
              <w:top w:type="dxa" w:w="100"/>
              <w:left w:type="dxa" w:w="140"/>
              <w:bottom w:type="dxa" w:w="100"/>
              <w:right w:type="dxa" w:w="140"/>
            </w:tcMar>
            <w:vAlign w:val="center"/>
          </w:tcPr>
          <w:p>
            <w:pPr>
              <w:spacing w:after="0" w:line="260"/>
            </w:pPr>
            <w:r>
              <w:rPr>
                <w:sz w:val="20"/>
                <w:szCs w:val="20"/>
              </w:rPr>
              <w:t xml:space="preserve">Title:  </w:t>
            </w:r>
            <w:r>
              <w:rPr>
                <w:sz w:val="20"/>
                <w:szCs w:val="20"/>
                <w:highlight w:val="yellow"/>
                <w:highlightCs w:val="yellow"/>
              </w:rPr>
              <w:t xml:space="preserve">[JOB TITLE]</w:t>
            </w:r>
          </w:p>
        </w:tc>
      </w:tr>
      <w:tr>
        <w:trPr>
          <w:tblHeader w:val="false"/>
        </w:trPr>
        <w:tc>
          <w:tcPr>
            <w:tcW w:type="dxa" w:w="4513"/>
            <w:tcMar>
              <w:top w:type="dxa" w:w="100"/>
              <w:left w:type="dxa" w:w="140"/>
              <w:bottom w:type="dxa" w:w="100"/>
              <w:right w:type="dxa" w:w="140"/>
            </w:tcMar>
            <w:vAlign w:val="center"/>
          </w:tcPr>
          <w:p>
            <w:pPr>
              <w:spacing w:after="0" w:line="260"/>
            </w:pPr>
            <w:r>
              <w:rPr>
                <w:sz w:val="20"/>
                <w:szCs w:val="20"/>
              </w:rPr>
              <w:t xml:space="preserve">Email:  </w:t>
            </w:r>
            <w:r>
              <w:rPr>
                <w:sz w:val="20"/>
                <w:szCs w:val="20"/>
                <w:highlight w:val="yellow"/>
                <w:highlightCs w:val="yellow"/>
              </w:rPr>
              <w:t xml:space="preserve">[EMAIL]</w:t>
            </w:r>
          </w:p>
        </w:tc>
        <w:tc>
          <w:tcPr>
            <w:tcW w:type="dxa" w:w="4513"/>
            <w:tcMar>
              <w:top w:type="dxa" w:w="100"/>
              <w:left w:type="dxa" w:w="140"/>
              <w:bottom w:type="dxa" w:w="100"/>
              <w:right w:type="dxa" w:w="140"/>
            </w:tcMar>
            <w:vAlign w:val="center"/>
          </w:tcPr>
          <w:p>
            <w:pPr>
              <w:spacing w:after="0" w:line="260"/>
            </w:pPr>
            <w:r>
              <w:rPr>
                <w:sz w:val="20"/>
                <w:szCs w:val="20"/>
              </w:rPr>
              <w:t xml:space="preserve">Phone:  </w:t>
            </w:r>
            <w:r>
              <w:rPr>
                <w:sz w:val="20"/>
                <w:szCs w:val="20"/>
                <w:highlight w:val="yellow"/>
                <w:highlightCs w:val="yellow"/>
              </w:rPr>
              <w:t xml:space="preserve">[PHONE]</w:t>
            </w:r>
          </w:p>
        </w:tc>
      </w:tr>
      <w:tr>
        <w:trPr>
          <w:tblHeader w:val="false"/>
        </w:trPr>
        <w:tc>
          <w:tcPr>
            <w:tcW w:type="dxa" w:w="4513"/>
            <w:tcMar>
              <w:top w:type="dxa" w:w="100"/>
              <w:left w:type="dxa" w:w="140"/>
              <w:bottom w:type="dxa" w:w="100"/>
              <w:right w:type="dxa" w:w="140"/>
            </w:tcMar>
            <w:vAlign w:val="center"/>
          </w:tcPr>
          <w:p>
            <w:pPr>
              <w:spacing w:after="0" w:line="260"/>
            </w:pPr>
            <w:r>
              <w:rPr>
                <w:sz w:val="20"/>
                <w:szCs w:val="20"/>
              </w:rPr>
              <w:t xml:space="preserve">Date:</w:t>
            </w:r>
          </w:p>
        </w:tc>
        <w:tc>
          <w:tcPr>
            <w:tcW w:type="dxa" w:w="4513"/>
            <w:tcMar>
              <w:top w:type="dxa" w:w="100"/>
              <w:left w:type="dxa" w:w="140"/>
              <w:bottom w:type="dxa" w:w="100"/>
              <w:right w:type="dxa" w:w="140"/>
            </w:tcMar>
            <w:vAlign w:val="center"/>
          </w:tcPr>
          <w:p>
            <w:pPr>
              <w:spacing w:after="0" w:line="260"/>
            </w:pPr>
            <w:r>
              <w:rPr>
                <w:sz w:val="20"/>
                <w:szCs w:val="20"/>
              </w:rPr>
              <w:t xml:space="preserve">Company stamp (if used):</w:t>
            </w:r>
          </w:p>
        </w:tc>
      </w:tr>
    </w:tbl>
    <w:p>
      <w:pPr>
        <w:spacing w:after="260"/>
      </w:pPr>
    </w:p>
    <w:p>
      <w:pPr>
        <w:spacing w:after="140" w:before="200"/>
      </w:pPr>
      <w:r>
        <w:rPr>
          <w:b/>
          <w:bCs/>
          <w:color w:val="8A1C1C"/>
          <w:sz w:val="22"/>
          <w:szCs w:val="22"/>
        </w:rPr>
        <w:t xml:space="preserve">Notes for QuickInsight — delete this section before sending</w:t>
      </w:r>
    </w:p>
    <w:p>
      <w:pPr>
        <w:pStyle w:val="ListParagraph"/>
        <w:numPr>
          <w:ilvl w:val="0"/>
          <w:numId w:val="2"/>
        </w:numPr>
        <w:spacing w:after="110" w:line="276"/>
      </w:pPr>
      <w:r>
        <w:t xml:space="preserve">Do not fill in the results figures yourself. Ask the customer for them, and use their number even if it is lower than you hoped — a modest verified figure is evidence, an impressive invented one is not.</w:t>
      </w:r>
    </w:p>
    <w:p>
      <w:pPr>
        <w:pStyle w:val="ListParagraph"/>
        <w:numPr>
          <w:ilvl w:val="0"/>
          <w:numId w:val="2"/>
        </w:numPr>
        <w:spacing w:after="110" w:line="276"/>
      </w:pPr>
      <w:r>
        <w:t xml:space="preserve">If the customer cannot give a number, delete that row rather than estimating.</w:t>
      </w:r>
    </w:p>
    <w:p>
      <w:pPr>
        <w:pStyle w:val="ListParagraph"/>
        <w:numPr>
          <w:ilvl w:val="0"/>
          <w:numId w:val="2"/>
        </w:numPr>
        <w:spacing w:after="110" w:line="276"/>
      </w:pPr>
      <w:r>
        <w:t xml:space="preserve">One question gets you most of the results table: "Before QuickInsight, how often did you rebuild this and roughly how long did it take each time? And now?"</w:t>
      </w:r>
    </w:p>
    <w:p>
      <w:pPr>
        <w:pStyle w:val="ListParagraph"/>
        <w:numPr>
          <w:ilvl w:val="0"/>
          <w:numId w:val="2"/>
        </w:numPr>
        <w:spacing w:after="110" w:line="276"/>
      </w:pPr>
      <w:r>
        <w:t xml:space="preserve">The quote must be the customer’s own words. If they ask you to draft one, send it as a suggestion and let them rewrite it.</w:t>
      </w:r>
    </w:p>
    <w:p>
      <w:pPr>
        <w:pStyle w:val="ListParagraph"/>
        <w:numPr>
          <w:ilvl w:val="0"/>
          <w:numId w:val="2"/>
        </w:numPr>
        <w:spacing w:after="110" w:line="276"/>
      </w:pPr>
      <w:r>
        <w:t xml:space="preserve">Send as PDF once the placeholders are filled. Ask for a signed scan back, and keep the original.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1A2E"/>
      <w:sz w:val="26"/>
      <w:szCs w:val="26"/>
    </w:rPr>
  </w:style>
  <w:style w:type="paragraph" w:styleId="Heading2">
    <w:name w:val="Heading 2"/>
    <w:basedOn w:val="Normal"/>
    <w:next w:val="Normal"/>
    <w:qFormat/>
    <w:rPr>
      <w:rFonts w:ascii="Calibri" w:cs="Calibri" w:eastAsia="Calibri" w:hAnsi="Calibri"/>
      <w:b/>
      <w:bCs/>
      <w:color w:val="333344"/>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2026-08-03T02:53:52.070Z</dcterms:created>
  <dcterms:modified xsi:type="dcterms:W3CDTF">2026-08-03T02:53:52.082Z</dcterms:modified>
</cp:coreProperties>
</file>

<file path=docProps/custom.xml><?xml version="1.0" encoding="utf-8"?>
<Properties xmlns="http://schemas.openxmlformats.org/officeDocument/2006/custom-properties" xmlns:vt="http://schemas.openxmlformats.org/officeDocument/2006/docPropsVTypes"/>
</file>