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Nithyasystems</w:t>
      </w:r>
    </w:p>
    <w:p>
      <w:pPr>
        <w:spacing w:after="60"/>
      </w:pPr>
      <w:r>
        <w:rPr>
          <w:color w:val="444455"/>
          <w:sz w:val="24"/>
          <w:szCs w:val="24"/>
        </w:rPr>
        <w:t xml:space="preserve">Software services · [COUNTRY]</w:t>
      </w:r>
    </w:p>
    <w:p>
      <w:pPr>
        <w:pBdr>
          <w:bottom w:val="single" w:color="999999" w:sz="6" w:space="6"/>
        </w:pBdr>
        <w:spacing w:after="300"/>
      </w:pPr>
    </w:p>
    <w:p>
      <w:pPr>
        <w:pBdr>
          <w:bottom w:val="single" w:color="999999" w:sz="6" w:space="6"/>
        </w:pBdr>
        <w:spacing w:after="320"/>
      </w:pPr>
      <w:r>
        <w:rPr>
          <w:i/>
          <w:iCs/>
          <w:color w:val="8A1C1C"/>
          <w:sz w:val="20"/>
          <w:szCs w:val="20"/>
        </w:rPr>
        <w:t xml:space="preserve">DRAFT FOR APPROVAL — NOT YET VERIFIED. Every highlighted field must be completed and confirmed by Nithyasystems. This document must not be published, submitted to any third party, or used as evidence until Nithyasystems has approved it in writing using the sign-off block on the last page.</w:t>
      </w:r>
    </w:p>
    <w:p>
      <w:pPr>
        <w:pStyle w:val="Heading1"/>
        <w:spacing w:after="160" w:before="34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Software services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[CITY]</w:t>
            </w:r>
            <w:r>
              <w:rPr>
                <w:b w:val="false"/>
                <w:bCs w:val="false"/>
                <w:sz w:val="20"/>
                <w:szCs w:val="20"/>
              </w:rPr>
              <w:t xml:space="preserve">, </w:t>
            </w:r>
            <w:r>
              <w:rPr>
                <w:b w:val="false"/>
                <w:bCs w:val="false"/>
                <w:sz w:val="20"/>
                <w:szCs w:val="20"/>
                <w:highlight w:val="yellow"/>
                <w:highlightCs w:val="yellow"/>
              </w:rPr>
              <w:t xml:space="preserve">[COUNTRY]</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[N]</w:t>
            </w:r>
            <w:r>
              <w:rPr>
                <w:b w:val="false"/>
                <w:bCs w:val="false"/>
                <w:sz w:val="20"/>
                <w:szCs w:val="20"/>
              </w:rPr>
              <w:t xml:space="preserve">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[MONTH YEAR]</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Contract management and budget tracking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[DESCRIBE — e.g. a contract register spreadsheet plus monthly actuals exported from the accounting system]</w:t>
            </w:r>
          </w:p>
        </w:tc>
      </w:tr>
    </w:tbl>
    <w:p>
      <w:pPr>
        <w:pStyle w:val="Heading1"/>
        <w:spacing w:after="160" w:before="340"/>
      </w:pPr>
      <w:r>
        <w:t xml:space="preserve">The situation before</w:t>
      </w:r>
    </w:p>
    <w:p>
      <w:pPr>
        <w:spacing w:after="160" w:line="276"/>
      </w:pPr>
      <w:r>
        <w:t xml:space="preserve">Nithyasystems tracked its client contracts and the budget attached to each one across </w:t>
      </w:r>
      <w:r>
        <w:rPr>
          <w:b/>
          <w:bCs/>
          <w:highlight w:val="yellow"/>
          <w:highlightCs w:val="yellow"/>
        </w:rPr>
        <w:t xml:space="preserve">[DESCRIBE — e.g. several spreadsheets maintained by different people: a contract register, a budget sheet, and a monthly actuals export]</w:t>
      </w:r>
      <w:r>
        <w:t xml:space="preserve">.</w:t>
      </w:r>
    </w:p>
    <w:p>
      <w:pPr>
        <w:spacing w:after="160" w:line="276"/>
      </w:pPr>
      <w:r>
        <w:t xml:space="preserve">Answering a question as simple as "which contracts are over budget this quarter" required </w:t>
      </w:r>
      <w:r>
        <w:rPr>
          <w:b/>
          <w:bCs/>
          <w:highlight w:val="yellow"/>
          <w:highlightCs w:val="yellow"/>
        </w:rPr>
        <w:t xml:space="preserve">[DESCRIBE THE MANUAL PROCESS — e.g. matching contract references between two sheets by hand with VLOOKUP]</w:t>
      </w:r>
      <w:r>
        <w:t xml:space="preserve">, which took roughly </w:t>
      </w:r>
      <w:r>
        <w:rPr>
          <w:b/>
          <w:bCs/>
          <w:highlight w:val="yellow"/>
          <w:highlightCs w:val="yellow"/>
        </w:rPr>
        <w:t xml:space="preserve">[N]</w:t>
      </w:r>
      <w:r>
        <w:t xml:space="preserve"> hours and had to be redone whenever the actuals were updated.</w:t>
      </w:r>
    </w:p>
    <w:p>
      <w:pPr>
        <w:spacing w:after="160" w:line="276"/>
      </w:pPr>
      <w:r>
        <w:t xml:space="preserve">The specific difficulties were:</w:t>
      </w:r>
    </w:p>
    <w:p>
      <w:pPr>
        <w:pStyle w:val="ListParagraph"/>
        <w:numPr>
          <w:ilvl w:val="0"/>
          <w:numId w:val="2"/>
        </w:numPr>
        <w:spacing w:after="110" w:line="276"/>
      </w:pPr>
      <w:r>
        <w:rPr>
          <w:b/>
          <w:bCs/>
          <w:highlight w:val="yellow"/>
          <w:highlightCs w:val="yellow"/>
        </w:rPr>
        <w:t xml:space="preserve">[DIFFICULTY 1 — e.g. contract references were formatted differently in each sheet, so lookups silently failed]</w:t>
      </w:r>
    </w:p>
    <w:p>
      <w:pPr>
        <w:pStyle w:val="ListParagraph"/>
        <w:numPr>
          <w:ilvl w:val="0"/>
          <w:numId w:val="2"/>
        </w:numPr>
        <w:spacing w:after="110" w:line="276"/>
      </w:pPr>
      <w:r>
        <w:rPr>
          <w:b/>
          <w:bCs/>
          <w:highlight w:val="yellow"/>
          <w:highlightCs w:val="yellow"/>
        </w:rPr>
        <w:t xml:space="preserve">[DIFFICULTY 2 — e.g. budget figures and actuals lived in separate files that were never reconciled between quarter ends]</w:t>
      </w:r>
    </w:p>
    <w:p>
      <w:pPr>
        <w:pStyle w:val="ListParagraph"/>
        <w:numPr>
          <w:ilvl w:val="0"/>
          <w:numId w:val="2"/>
        </w:numPr>
        <w:spacing w:after="110" w:line="276"/>
      </w:pPr>
      <w:r>
        <w:rPr>
          <w:b/>
          <w:bCs/>
          <w:highlight w:val="yellow"/>
          <w:highlightCs w:val="yellow"/>
        </w:rPr>
        <w:t xml:space="preserve">[DIFFICULTY 3 — e.g. there was no reliable view of total committed spend across all live contracts]</w:t>
      </w:r>
    </w:p>
    <w:p>
      <w:pPr>
        <w:pStyle w:val="Heading1"/>
        <w:spacing w:after="160" w:before="340"/>
      </w:pPr>
      <w:r>
        <w:t xml:space="preserve">Why the data could not go to a cloud BI tool</w:t>
      </w:r>
    </w:p>
    <w:p>
      <w:pPr>
        <w:spacing w:after="160" w:line="276"/>
      </w:pPr>
      <w:r>
        <w:t xml:space="preserve">Contract registers contain client names, negotiated rates and contract values. This is commercially sensitive information, and </w:t>
      </w:r>
      <w:r>
        <w:rPr>
          <w:b/>
          <w:bCs/>
          <w:highlight w:val="yellow"/>
          <w:highlightCs w:val="yellow"/>
        </w:rPr>
        <w:t xml:space="preserve">[DESCRIBE NITHYASYSTEMS’ POSITION — e.g. several client contracts include confidentiality terms that prevent the data being shared with third-party services]</w:t>
      </w:r>
      <w:r>
        <w:t xml:space="preserve">.</w:t>
      </w:r>
    </w:p>
    <w:p>
      <w:pPr>
        <w:spacing w:after="160" w:line="276"/>
      </w:pPr>
      <w:r>
        <w:t xml:space="preserve">QuickInsight takes a different approach. It loads the spreadsheet into an analytical database that runs inside the web browser on the user’s own computer. Cleaning, profiling, query execution and charting all happen on that machine. The file is never uploaded to a server.</w:t>
      </w:r>
    </w:p>
    <w:p>
      <w:pPr>
        <w:spacing w:after="160" w:line="276"/>
      </w:pPr>
      <w:r>
        <w:t xml:space="preserve">Where the AI features are used to interpret a typed question, only the structure of the data is sent — table names, column names and data types. No data values are sent unless the user explicitly turns that on, and even then the tool automatically excludes anything that looks like a name, an identifier, contact details or a sensitive category, and lets the user switch off any remaining column or individual value before it goes.</w:t>
      </w:r>
    </w:p>
    <w:p>
      <w:pPr>
        <w:pStyle w:val="Heading1"/>
        <w:spacing w:after="160" w:before="340"/>
      </w:pPr>
      <w:r>
        <w:t xml:space="preserve">What Nithyasystems does with QuickInsight</w:t>
      </w:r>
    </w:p>
    <w:p>
      <w:pPr>
        <w:spacing w:after="160" w:line="276"/>
      </w:pPr>
      <w:r>
        <w:t xml:space="preserve">The </w:t>
      </w:r>
      <w:r>
        <w:rPr>
          <w:b/>
          <w:bCs/>
          <w:highlight w:val="yellow"/>
          <w:highlightCs w:val="yellow"/>
        </w:rPr>
        <w:t xml:space="preserve">[ROLE — e.g. finance lead]</w:t>
      </w:r>
      <w:r>
        <w:t xml:space="preserve"> loads the contract register and the actuals export together. QuickInsight detects the relationship between the two sheets automatically and joins them, refusing any join that would duplicate rows and inflate the totals — so the figures on screen match the figures in the source files.</w:t>
      </w:r>
    </w:p>
    <w:p>
      <w:pPr>
        <w:spacing w:after="160" w:line="276"/>
      </w:pPr>
      <w:r>
        <w:t xml:space="preserve">Typical questions include:</w:t>
      </w:r>
    </w:p>
    <w:p>
      <w:pPr>
        <w:pStyle w:val="ListParagraph"/>
        <w:numPr>
          <w:ilvl w:val="0"/>
          <w:numId w:val="2"/>
        </w:numPr>
        <w:spacing w:after="110" w:line="276"/>
      </w:pPr>
      <w:r>
        <w:rPr>
          <w:b/>
          <w:bCs/>
          <w:highlight w:val="yellow"/>
          <w:highlightCs w:val="yellow"/>
        </w:rPr>
        <w:t xml:space="preserve">[QUESTION 1 — e.g. budget versus actual spend by contract, for the current quarter]</w:t>
      </w:r>
    </w:p>
    <w:p>
      <w:pPr>
        <w:pStyle w:val="ListParagraph"/>
        <w:numPr>
          <w:ilvl w:val="0"/>
          <w:numId w:val="2"/>
        </w:numPr>
        <w:spacing w:after="110" w:line="276"/>
      </w:pPr>
      <w:r>
        <w:rPr>
          <w:b/>
          <w:bCs/>
          <w:highlight w:val="yellow"/>
          <w:highlightCs w:val="yellow"/>
        </w:rPr>
        <w:t xml:space="preserve">[QUESTION 2 — e.g. contracts where actual spend has exceeded budget, largest overrun first]</w:t>
      </w:r>
    </w:p>
    <w:p>
      <w:pPr>
        <w:pStyle w:val="ListParagraph"/>
        <w:numPr>
          <w:ilvl w:val="0"/>
          <w:numId w:val="2"/>
        </w:numPr>
        <w:spacing w:after="110" w:line="276"/>
      </w:pPr>
      <w:r>
        <w:rPr>
          <w:b/>
          <w:bCs/>
          <w:highlight w:val="yellow"/>
          <w:highlightCs w:val="yellow"/>
        </w:rPr>
        <w:t xml:space="preserve">[QUESTION 3 — e.g. total committed contract value by client]</w:t>
      </w:r>
    </w:p>
    <w:p>
      <w:pPr>
        <w:pStyle w:val="ListParagraph"/>
        <w:numPr>
          <w:ilvl w:val="0"/>
          <w:numId w:val="2"/>
        </w:numPr>
        <w:spacing w:after="110" w:line="276"/>
      </w:pPr>
      <w:r>
        <w:rPr>
          <w:b/>
          <w:bCs/>
          <w:highlight w:val="yellow"/>
          <w:highlightCs w:val="yellow"/>
        </w:rPr>
        <w:t xml:space="preserve">[QUESTION 4 — e.g. month-by-month spend against a named contract]</w:t>
      </w:r>
    </w:p>
    <w:p>
      <w:pPr>
        <w:spacing w:after="160" w:line="276"/>
      </w:pPr>
      <w:r>
        <w:t xml:space="preserve">The results are saved to a dashboard reviewed </w:t>
      </w:r>
      <w:r>
        <w:rPr>
          <w:b/>
          <w:bCs/>
          <w:highlight w:val="yellow"/>
          <w:highlightCs w:val="yellow"/>
        </w:rPr>
        <w:t xml:space="preserve">[HOW OFTEN]</w:t>
      </w:r>
      <w:r>
        <w:t xml:space="preserve"> by </w:t>
      </w:r>
      <w:r>
        <w:rPr>
          <w:b/>
          <w:bCs/>
          <w:highlight w:val="yellow"/>
          <w:highlightCs w:val="yellow"/>
        </w:rPr>
        <w:t xml:space="preserve">[WHO]</w:t>
      </w:r>
      <w:r>
        <w:t xml:space="preserve">.</w:t>
      </w:r>
    </w:p>
    <w:p>
      <w:pPr>
        <w:pStyle w:val="Heading1"/>
        <w:spacing w:after="160" w:before="340"/>
      </w:pPr>
      <w:r>
        <w:t xml:space="preserve">Results</w:t>
      </w:r>
    </w:p>
    <w:p>
      <w:pPr>
        <w:spacing w:after="160" w:line="276"/>
      </w:pPr>
      <w:r>
        <w:rPr>
          <w:b/>
          <w:bCs/>
          <w:highlight w:val="yellow"/>
          <w:highlightCs w:val="yellow"/>
        </w:rPr>
        <w:t xml:space="preserve">[Nithyasystems to complete. Use only figures Nithyasystems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produce the budget-versus-actual review</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hours</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Frequency the review is actually run</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quarterly]</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weekly]</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60" w:line="276"/>
      </w:pPr>
      <w:r>
        <w:rPr>
          <w:b/>
          <w:bCs/>
          <w:highlight w:val="yellow"/>
          <w:highlightCs w:val="yellow"/>
        </w:rPr>
        <w:t xml:space="preserve">[ADD ANY OUTCOME THAT IS NOT A TIME SAVING — e.g. an overrun identified early enough to act on, or a reconciliation error found. Specific incidents are more persuasive than averages.]</w:t>
      </w:r>
    </w:p>
    <w:p>
      <w:pPr>
        <w:pStyle w:val="Heading1"/>
        <w:spacing w:after="160" w:before="340"/>
      </w:pPr>
      <w:r>
        <w:t xml:space="preserve">In their words</w:t>
      </w:r>
    </w:p>
    <w:p>
      <w:pPr>
        <w:spacing w:after="140"/>
        <w:ind w:left="480"/>
      </w:pPr>
      <w:r>
        <w:rPr>
          <w:i/>
          <w:iCs/>
          <w:sz w:val="24"/>
          <w:szCs w:val="24"/>
        </w:rPr>
        <w:t xml:space="preserve">"[QUOTE — in the customer’s own words.]"</w:t>
      </w:r>
    </w:p>
    <w:p>
      <w:pPr>
        <w:spacing w:after="160" w:line="276"/>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Nithyasystems</w:t>
      </w:r>
    </w:p>
    <w:p>
      <w:r>
        <w:br w:type="page"/>
      </w:r>
    </w:p>
    <w:p>
      <w:pPr>
        <w:pStyle w:val="Heading1"/>
        <w:spacing w:after="160" w:before="340"/>
      </w:pPr>
      <w:r>
        <w:t xml:space="preserve">Approval</w:t>
      </w:r>
    </w:p>
    <w:p>
      <w:pPr>
        <w:spacing w:after="160" w:line="276"/>
      </w:pPr>
      <w:r>
        <w:t xml:space="preserve">I confirm that the statements and figures in this case study are accurate, and I authorise Nithyasystems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Nithyasystems</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 An empty results table with three real rows beats six rows where three are guesses.</w:t>
      </w:r>
    </w:p>
    <w:p>
      <w:pPr>
        <w:pStyle w:val="ListParagraph"/>
        <w:numPr>
          <w:ilvl w:val="0"/>
          <w:numId w:val="2"/>
        </w:numPr>
        <w:spacing w:after="110" w:line="276"/>
      </w:pPr>
      <w:r>
        <w:t xml:space="preserve">Send as PDF once the placeholders are filled. Ask for a signed scan back.</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Keep the signed original. It is a stronger evidence document than anything you write about yourself.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2026-08-02T19:15:11.479Z</dcterms:created>
  <dcterms:modified xsi:type="dcterms:W3CDTF">2026-08-02T19:15:11.479Z</dcterms:modified>
</cp:coreProperties>
</file>

<file path=docProps/custom.xml><?xml version="1.0" encoding="utf-8"?>
<Properties xmlns="http://schemas.openxmlformats.org/officeDocument/2006/custom-properties" xmlns:vt="http://schemas.openxmlformats.org/officeDocument/2006/docPropsVTypes"/>
</file>