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0F2038"/>
          <w:sz w:val="44"/>
          <w:szCs w:val="44"/>
        </w:rPr>
        <w:t xml:space="preserve">Session 2 (Revised) — Size It</w:t>
      </w:r>
    </w:p>
    <w:p>
      <w:pPr>
        <w:spacing w:after="40"/>
      </w:pPr>
      <w:r>
        <w:rPr>
          <w:i/>
          <w:iCs/>
          <w:color w:val="5A6B82"/>
          <w:sz w:val="24"/>
          <w:szCs w:val="24"/>
        </w:rPr>
        <w:t xml:space="preserve">Giltex Raw Material Shortage Detection — Problem-to-Product Sprint</w:t>
      </w:r>
    </w:p>
    <w:p>
      <w:pPr>
        <w:spacing w:after="300"/>
      </w:pPr>
      <w:r>
        <w:rPr>
          <w:color w:val="5A6B82"/>
          <w:sz w:val="20"/>
          <w:szCs w:val="20"/>
        </w:rPr>
        <w:t xml:space="preserve">Rebuilt against the current dataset. Supersedes the original Session 2 submission — kept in one file per instruction.</w:t>
      </w:r>
    </w:p>
    <w:p>
      <w:pPr>
        <w:pStyle w:val="Heading1"/>
        <w:spacing w:after="160" w:before="320"/>
      </w:pPr>
      <w:r>
        <w:t xml:space="preserve">1. Dataset Loaded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Two source files exist for this problem and were both loaded and reconciled rather than picking one blind: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Data_Main.xlsx — 1,000 shortage events, single "Raw Data" sheet, Aug 5 2025–Jan 31 2026. No batch-volume denominator. This is the dataset already live inside the Session 5 prototype.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Data_v2_1.xlsx — 1,024 shortage events, five sheets (Shortage Events, Batch Volume, Monthly Summary, Segment Summary, Assumptions), same date range. This is the only file with a batch-volume denominator, so it is the only file that can produce a true shortage rate (% of batches).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The data does show the problem in both files — 1,000+ shortage events, 6-figure monthly cost, and a rising trend — so no regeneration was needed. What the reconciliation surfaced instead is a live conflict between the two files:</w:t>
      </w:r>
    </w:p>
    <w:p>
      <w:pPr>
        <w:shd w:fill="FBE7E4" w:val="clear"/>
        <w:spacing w:after="160"/>
      </w:pPr>
      <w:r>
        <w:rPr>
          <w:b/>
          <w:bCs/>
          <w:color w:val="C0453B"/>
        </w:rPr>
        <w:t xml:space="preserve">FLAG: </w:t>
      </w:r>
      <w:r>
        <w:rPr>
          <w:color w:val="0F2038"/>
        </w:rPr>
        <w:t xml:space="preserve">Data_v2_1.xlsx's shortage rate climbs every single month (15.3%→36.3%, no exceptions). Data_Main.xlsx's raw event count peaks in December (282) and falls 24% in January (215). Both cannot be describing the same reality cleanly. Data_v2_1.xlsx is used below wherever a true rate or a batch denominator is required, because it is the only file that supports that math. Data_Main.xlsx is cross-checked against it wherever possible. This conflict is not resolved in this submission — it is called out explicitly so it doesn't quietly become load-bearing.</w:t>
      </w:r>
    </w:p>
    <w:p>
      <w:pPr>
        <w:pStyle w:val="Heading1"/>
        <w:spacing w:after="160" w:before="320"/>
      </w:pPr>
      <w:r>
        <w:t xml:space="preserve">2. Pivots and Charts</w:t>
      </w:r>
    </w:p>
    <w:p>
      <w:pPr>
        <w:pStyle w:val="Heading2"/>
        <w:spacing w:after="120" w:before="240"/>
      </w:pPr>
      <w:r>
        <w:t xml:space="preserve">Pivot 1 — Shortage Rate by Month × Shop</w:t>
      </w:r>
    </w:p>
    <w:p>
      <w:pPr>
        <w:spacing w:after="140"/>
      </w:pPr>
      <w:r>
        <w:rPr>
          <w:b w:val="false"/>
          <w:bCs w:val="false"/>
          <w:i/>
          <w:iCs/>
          <w:color w:val="5A6B82"/>
          <w:sz w:val="20"/>
          <w:szCs w:val="20"/>
        </w:rPr>
        <w:t xml:space="preserve">Rows: Month · Columns: Shop · Values: Shortage Rate (%) = Shortage Events ÷ Batches Scheduled. Source: Data_v2_1.xlsx (Shortage Events + Batch Volume sheets). A true rate by material category is not buildable — Batch Volume is only tracked by Shop, not by material.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17"/>
        <w:gridCol w:w="3117"/>
        <w:gridCol w:w="3116"/>
      </w:tblGrid>
      <w:tr>
        <w:trPr>
          <w:tblHeader/>
        </w:trPr>
        <w:tc>
          <w:tcPr>
            <w:tcW w:type="dxa" w:w="3117"/>
            <w:shd w:fill="0F2038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Month</w:t>
            </w:r>
          </w:p>
        </w:tc>
        <w:tc>
          <w:tcPr>
            <w:tcW w:type="dxa" w:w="3117"/>
            <w:shd w:fill="0F2038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Dyeing</w:t>
            </w:r>
          </w:p>
        </w:tc>
        <w:tc>
          <w:tcPr>
            <w:tcW w:type="dxa" w:w="3116"/>
            <w:shd w:fill="0F2038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Weaving</w:t>
            </w:r>
          </w:p>
        </w:tc>
      </w:tr>
      <w:tr>
        <w:tc>
          <w:tcPr>
            <w:tcW w:type="dxa" w:w="3117"/>
            <w:shd w:fill="F7FAFD" w:val="clear"/>
            <w:vAlign w:val="center"/>
          </w:tcPr>
          <w:p>
            <w:r>
              <w:rPr>
                <w:b w:val="false"/>
                <w:bCs w:val="false"/>
                <w:color w:val="0F2038"/>
                <w:sz w:val="20"/>
                <w:szCs w:val="20"/>
              </w:rPr>
              <w:t xml:space="preserve">2025-08</w:t>
            </w:r>
          </w:p>
        </w:tc>
        <w:tc>
          <w:tcPr>
            <w:tcW w:type="dxa" w:w="3117"/>
            <w:shd w:fill="F7FAFD" w:val="clear"/>
            <w:vAlign w:val="center"/>
          </w:tcPr>
          <w:p>
            <w:r>
              <w:rPr>
                <w:b w:val="false"/>
                <w:bCs w:val="false"/>
                <w:color w:val="0F2038"/>
                <w:sz w:val="20"/>
                <w:szCs w:val="20"/>
              </w:rPr>
              <w:t xml:space="preserve">14.2%</w:t>
            </w:r>
          </w:p>
        </w:tc>
        <w:tc>
          <w:tcPr>
            <w:tcW w:type="dxa" w:w="3116"/>
            <w:shd w:fill="F7FAFD" w:val="clear"/>
            <w:vAlign w:val="center"/>
          </w:tcPr>
          <w:p>
            <w:r>
              <w:rPr>
                <w:b w:val="false"/>
                <w:bCs w:val="false"/>
                <w:color w:val="0F2038"/>
                <w:sz w:val="20"/>
                <w:szCs w:val="20"/>
              </w:rPr>
              <w:t xml:space="preserve">17.0%</w:t>
            </w:r>
          </w:p>
        </w:tc>
      </w:tr>
      <w:tr>
        <w:tc>
          <w:tcPr>
            <w:tcW w:type="dxa" w:w="3117"/>
            <w:shd w:fill="FFFFFF" w:val="clear"/>
            <w:vAlign w:val="center"/>
          </w:tcPr>
          <w:p>
            <w:r>
              <w:rPr>
                <w:b w:val="false"/>
                <w:bCs w:val="false"/>
                <w:color w:val="0F2038"/>
                <w:sz w:val="20"/>
                <w:szCs w:val="20"/>
              </w:rPr>
              <w:t xml:space="preserve">2025-09</w:t>
            </w:r>
          </w:p>
        </w:tc>
        <w:tc>
          <w:tcPr>
            <w:tcW w:type="dxa" w:w="3117"/>
            <w:shd w:fill="FFFFFF" w:val="clear"/>
            <w:vAlign w:val="center"/>
          </w:tcPr>
          <w:p>
            <w:r>
              <w:rPr>
                <w:b w:val="false"/>
                <w:bCs w:val="false"/>
                <w:color w:val="0F2038"/>
                <w:sz w:val="20"/>
                <w:szCs w:val="20"/>
              </w:rPr>
              <w:t xml:space="preserve">19.5%</w:t>
            </w:r>
          </w:p>
        </w:tc>
        <w:tc>
          <w:tcPr>
            <w:tcW w:type="dxa" w:w="3116"/>
            <w:shd w:fill="FFFFFF" w:val="clear"/>
            <w:vAlign w:val="center"/>
          </w:tcPr>
          <w:p>
            <w:r>
              <w:rPr>
                <w:b w:val="false"/>
                <w:bCs w:val="false"/>
                <w:color w:val="0F2038"/>
                <w:sz w:val="20"/>
                <w:szCs w:val="20"/>
              </w:rPr>
              <w:t xml:space="preserve">17.4%</w:t>
            </w:r>
          </w:p>
        </w:tc>
      </w:tr>
      <w:tr>
        <w:tc>
          <w:tcPr>
            <w:tcW w:type="dxa" w:w="3117"/>
            <w:shd w:fill="F7FAFD" w:val="clear"/>
            <w:vAlign w:val="center"/>
          </w:tcPr>
          <w:p>
            <w:r>
              <w:rPr>
                <w:b w:val="false"/>
                <w:bCs w:val="false"/>
                <w:color w:val="0F2038"/>
                <w:sz w:val="20"/>
                <w:szCs w:val="20"/>
              </w:rPr>
              <w:t xml:space="preserve">2025-10</w:t>
            </w:r>
          </w:p>
        </w:tc>
        <w:tc>
          <w:tcPr>
            <w:tcW w:type="dxa" w:w="3117"/>
            <w:shd w:fill="F7FAFD" w:val="clear"/>
            <w:vAlign w:val="center"/>
          </w:tcPr>
          <w:p>
            <w:r>
              <w:rPr>
                <w:b w:val="false"/>
                <w:bCs w:val="false"/>
                <w:color w:val="0F2038"/>
                <w:sz w:val="20"/>
                <w:szCs w:val="20"/>
              </w:rPr>
              <w:t xml:space="preserve">25.5%</w:t>
            </w:r>
          </w:p>
        </w:tc>
        <w:tc>
          <w:tcPr>
            <w:tcW w:type="dxa" w:w="3116"/>
            <w:shd w:fill="F7FAFD" w:val="clear"/>
            <w:vAlign w:val="center"/>
          </w:tcPr>
          <w:p>
            <w:r>
              <w:rPr>
                <w:b w:val="false"/>
                <w:bCs w:val="false"/>
                <w:color w:val="0F2038"/>
                <w:sz w:val="20"/>
                <w:szCs w:val="20"/>
              </w:rPr>
              <w:t xml:space="preserve">17.3%</w:t>
            </w:r>
          </w:p>
        </w:tc>
      </w:tr>
      <w:tr>
        <w:tc>
          <w:tcPr>
            <w:tcW w:type="dxa" w:w="3117"/>
            <w:shd w:fill="FFFFFF" w:val="clear"/>
            <w:vAlign w:val="center"/>
          </w:tcPr>
          <w:p>
            <w:r>
              <w:rPr>
                <w:b w:val="false"/>
                <w:bCs w:val="false"/>
                <w:color w:val="0F2038"/>
                <w:sz w:val="20"/>
                <w:szCs w:val="20"/>
              </w:rPr>
              <w:t xml:space="preserve">2025-11</w:t>
            </w:r>
          </w:p>
        </w:tc>
        <w:tc>
          <w:tcPr>
            <w:tcW w:type="dxa" w:w="3117"/>
            <w:shd w:fill="FFFFFF" w:val="clear"/>
            <w:vAlign w:val="center"/>
          </w:tcPr>
          <w:p>
            <w:r>
              <w:rPr>
                <w:b w:val="false"/>
                <w:bCs w:val="false"/>
                <w:color w:val="0F2038"/>
                <w:sz w:val="20"/>
                <w:szCs w:val="20"/>
              </w:rPr>
              <w:t xml:space="preserve">27.6%</w:t>
            </w:r>
          </w:p>
        </w:tc>
        <w:tc>
          <w:tcPr>
            <w:tcW w:type="dxa" w:w="3116"/>
            <w:shd w:fill="FFFFFF" w:val="clear"/>
            <w:vAlign w:val="center"/>
          </w:tcPr>
          <w:p>
            <w:r>
              <w:rPr>
                <w:b w:val="false"/>
                <w:bCs w:val="false"/>
                <w:color w:val="0F2038"/>
                <w:sz w:val="20"/>
                <w:szCs w:val="20"/>
              </w:rPr>
              <w:t xml:space="preserve">27.2%</w:t>
            </w:r>
          </w:p>
        </w:tc>
      </w:tr>
      <w:tr>
        <w:tc>
          <w:tcPr>
            <w:tcW w:type="dxa" w:w="3117"/>
            <w:shd w:fill="F7FAFD" w:val="clear"/>
            <w:vAlign w:val="center"/>
          </w:tcPr>
          <w:p>
            <w:r>
              <w:rPr>
                <w:b w:val="false"/>
                <w:bCs w:val="false"/>
                <w:color w:val="0F2038"/>
                <w:sz w:val="20"/>
                <w:szCs w:val="20"/>
              </w:rPr>
              <w:t xml:space="preserve">2025-12</w:t>
            </w:r>
          </w:p>
        </w:tc>
        <w:tc>
          <w:tcPr>
            <w:tcW w:type="dxa" w:w="3117"/>
            <w:shd w:fill="F7FAFD" w:val="clear"/>
            <w:vAlign w:val="center"/>
          </w:tcPr>
          <w:p>
            <w:r>
              <w:rPr>
                <w:b w:val="false"/>
                <w:bCs w:val="false"/>
                <w:color w:val="0F2038"/>
                <w:sz w:val="20"/>
                <w:szCs w:val="20"/>
              </w:rPr>
              <w:t xml:space="preserve">30.4%</w:t>
            </w:r>
          </w:p>
        </w:tc>
        <w:tc>
          <w:tcPr>
            <w:tcW w:type="dxa" w:w="3116"/>
            <w:shd w:fill="F7FAFD" w:val="clear"/>
            <w:vAlign w:val="center"/>
          </w:tcPr>
          <w:p>
            <w:r>
              <w:rPr>
                <w:b w:val="false"/>
                <w:bCs w:val="false"/>
                <w:color w:val="0F2038"/>
                <w:sz w:val="20"/>
                <w:szCs w:val="20"/>
              </w:rPr>
              <w:t xml:space="preserve">27.4%</w:t>
            </w:r>
          </w:p>
        </w:tc>
      </w:tr>
      <w:tr>
        <w:tc>
          <w:tcPr>
            <w:tcW w:type="dxa" w:w="3117"/>
            <w:shd w:fill="FFFFFF" w:val="clear"/>
            <w:vAlign w:val="center"/>
          </w:tcPr>
          <w:p>
            <w:r>
              <w:rPr>
                <w:b w:val="false"/>
                <w:bCs w:val="false"/>
                <w:color w:val="0F2038"/>
                <w:sz w:val="20"/>
                <w:szCs w:val="20"/>
              </w:rPr>
              <w:t xml:space="preserve">2026-01</w:t>
            </w:r>
          </w:p>
        </w:tc>
        <w:tc>
          <w:tcPr>
            <w:tcW w:type="dxa" w:w="3117"/>
            <w:shd w:fill="FFFFFF" w:val="clear"/>
            <w:vAlign w:val="center"/>
          </w:tcPr>
          <w:p>
            <w:r>
              <w:rPr>
                <w:b w:val="false"/>
                <w:bCs w:val="false"/>
                <w:color w:val="0F2038"/>
                <w:sz w:val="20"/>
                <w:szCs w:val="20"/>
              </w:rPr>
              <w:t xml:space="preserve">35.5%</w:t>
            </w:r>
          </w:p>
        </w:tc>
        <w:tc>
          <w:tcPr>
            <w:tcW w:type="dxa" w:w="3116"/>
            <w:shd w:fill="FFFFFF" w:val="clear"/>
            <w:vAlign w:val="center"/>
          </w:tcPr>
          <w:p>
            <w:r>
              <w:rPr>
                <w:b w:val="false"/>
                <w:bCs w:val="false"/>
                <w:color w:val="0F2038"/>
                <w:sz w:val="20"/>
                <w:szCs w:val="20"/>
              </w:rPr>
              <w:t xml:space="preserve">37.7%</w:t>
            </w:r>
          </w:p>
        </w:tc>
      </w:tr>
    </w:tbl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/>
      </w:r>
    </w:p>
    <w:p>
      <w:pPr>
        <w:spacing w:after="60" w:before="100"/>
        <w:jc w:val="center"/>
      </w:pPr>
      <w:r>
        <w:drawing>
          <wp:inline distT="0" distB="0" distL="0" distR="0">
            <wp:extent cx="4953000" cy="2771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5A6B82"/>
          <w:sz w:val="18"/>
          <w:szCs w:val="18"/>
        </w:rPr>
        <w:t xml:space="preserve">Chart 1 — Shortage rate over time, by shop. Proves the worsening trend is broad-based across both shops, not one outlier shop pulling the average up.</w:t>
      </w:r>
    </w:p>
    <w:p>
      <w:pPr>
        <w:pStyle w:val="Heading2"/>
        <w:spacing w:after="120" w:before="240"/>
      </w:pPr>
      <w:r>
        <w:t xml:space="preserve">Pivot 2 — Events / Cost / Idle-Hours by Shop (cross-validated)</w:t>
      </w:r>
    </w:p>
    <w:p>
      <w:pPr>
        <w:spacing w:after="140"/>
      </w:pPr>
      <w:r>
        <w:rPr>
          <w:b w:val="false"/>
          <w:bCs w:val="false"/>
          <w:i/>
          <w:iCs/>
          <w:color w:val="5A6B82"/>
          <w:sz w:val="20"/>
          <w:szCs w:val="20"/>
        </w:rPr>
        <w:t xml:space="preserve">Rows: Shop · Values: Events, Total Cost (AZN), Idle-Hours, each as % of total. Computed independently in both files to test whether the split holds.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17"/>
        <w:gridCol w:w="3117"/>
        <w:gridCol w:w="3116"/>
      </w:tblGrid>
      <w:tr>
        <w:trPr>
          <w:tblHeader/>
        </w:trPr>
        <w:tc>
          <w:tcPr>
            <w:tcW w:type="dxa" w:w="3117"/>
            <w:shd w:fill="0F2038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Shop</w:t>
            </w:r>
          </w:p>
        </w:tc>
        <w:tc>
          <w:tcPr>
            <w:tcW w:type="dxa" w:w="3117"/>
            <w:shd w:fill="0F2038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Data_Main.xlsx</w:t>
            </w:r>
          </w:p>
        </w:tc>
        <w:tc>
          <w:tcPr>
            <w:tcW w:type="dxa" w:w="3116"/>
            <w:shd w:fill="0F2038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Data_v2_1.xlsx</w:t>
            </w:r>
          </w:p>
        </w:tc>
      </w:tr>
      <w:tr>
        <w:tc>
          <w:tcPr>
            <w:tcW w:type="dxa" w:w="3117"/>
            <w:shd w:fill="F7FAFD" w:val="clear"/>
            <w:vAlign w:val="center"/>
          </w:tcPr>
          <w:p>
            <w:r>
              <w:rPr>
                <w:b w:val="false"/>
                <w:bCs w:val="false"/>
                <w:color w:val="0F2038"/>
                <w:sz w:val="20"/>
                <w:szCs w:val="20"/>
              </w:rPr>
              <w:t xml:space="preserve">Events %</w:t>
            </w:r>
          </w:p>
        </w:tc>
        <w:tc>
          <w:tcPr>
            <w:tcW w:type="dxa" w:w="3117"/>
            <w:shd w:fill="F7FAFD" w:val="clear"/>
            <w:vAlign w:val="center"/>
          </w:tcPr>
          <w:p>
            <w:r>
              <w:rPr>
                <w:b w:val="false"/>
                <w:bCs w:val="false"/>
                <w:color w:val="0F2038"/>
                <w:sz w:val="20"/>
                <w:szCs w:val="20"/>
              </w:rPr>
              <w:t xml:space="preserve">63.3%</w:t>
            </w:r>
          </w:p>
        </w:tc>
        <w:tc>
          <w:tcPr>
            <w:tcW w:type="dxa" w:w="3116"/>
            <w:shd w:fill="F7FAFD" w:val="clear"/>
            <w:vAlign w:val="center"/>
          </w:tcPr>
          <w:p>
            <w:r>
              <w:rPr>
                <w:b w:val="false"/>
                <w:bCs w:val="false"/>
                <w:color w:val="0F2038"/>
                <w:sz w:val="20"/>
                <w:szCs w:val="20"/>
              </w:rPr>
              <w:t xml:space="preserve">63.4%</w:t>
            </w:r>
          </w:p>
        </w:tc>
      </w:tr>
      <w:tr>
        <w:tc>
          <w:tcPr>
            <w:tcW w:type="dxa" w:w="3117"/>
            <w:shd w:fill="FFFFFF" w:val="clear"/>
            <w:vAlign w:val="center"/>
          </w:tcPr>
          <w:p>
            <w:r>
              <w:rPr>
                <w:b w:val="false"/>
                <w:bCs w:val="false"/>
                <w:color w:val="0F2038"/>
                <w:sz w:val="20"/>
                <w:szCs w:val="20"/>
              </w:rPr>
              <w:t xml:space="preserve">Cost %</w:t>
            </w:r>
          </w:p>
        </w:tc>
        <w:tc>
          <w:tcPr>
            <w:tcW w:type="dxa" w:w="3117"/>
            <w:shd w:fill="FFFFFF" w:val="clear"/>
            <w:vAlign w:val="center"/>
          </w:tcPr>
          <w:p>
            <w:r>
              <w:rPr>
                <w:b w:val="false"/>
                <w:bCs w:val="false"/>
                <w:color w:val="0F2038"/>
                <w:sz w:val="20"/>
                <w:szCs w:val="20"/>
              </w:rPr>
              <w:t xml:space="preserve">60.1%</w:t>
            </w:r>
          </w:p>
        </w:tc>
        <w:tc>
          <w:tcPr>
            <w:tcW w:type="dxa" w:w="3116"/>
            <w:shd w:fill="FFFFFF" w:val="clear"/>
            <w:vAlign w:val="center"/>
          </w:tcPr>
          <w:p>
            <w:r>
              <w:rPr>
                <w:b w:val="false"/>
                <w:bCs w:val="false"/>
                <w:color w:val="0F2038"/>
                <w:sz w:val="20"/>
                <w:szCs w:val="20"/>
              </w:rPr>
              <w:t xml:space="preserve">63.4%</w:t>
            </w:r>
          </w:p>
        </w:tc>
      </w:tr>
      <w:tr>
        <w:tc>
          <w:tcPr>
            <w:tcW w:type="dxa" w:w="3117"/>
            <w:shd w:fill="F7FAFD" w:val="clear"/>
            <w:vAlign w:val="center"/>
          </w:tcPr>
          <w:p>
            <w:r>
              <w:rPr>
                <w:b w:val="false"/>
                <w:bCs w:val="false"/>
                <w:color w:val="0F2038"/>
                <w:sz w:val="20"/>
                <w:szCs w:val="20"/>
              </w:rPr>
              <w:t xml:space="preserve">Idle-hours %</w:t>
            </w:r>
          </w:p>
        </w:tc>
        <w:tc>
          <w:tcPr>
            <w:tcW w:type="dxa" w:w="3117"/>
            <w:shd w:fill="F7FAFD" w:val="clear"/>
            <w:vAlign w:val="center"/>
          </w:tcPr>
          <w:p>
            <w:r>
              <w:rPr>
                <w:b w:val="false"/>
                <w:bCs w:val="false"/>
                <w:color w:val="0F2038"/>
                <w:sz w:val="20"/>
                <w:szCs w:val="20"/>
              </w:rPr>
              <w:t xml:space="preserve">69.6%</w:t>
            </w:r>
          </w:p>
        </w:tc>
        <w:tc>
          <w:tcPr>
            <w:tcW w:type="dxa" w:w="3116"/>
            <w:shd w:fill="F7FAFD" w:val="clear"/>
            <w:vAlign w:val="center"/>
          </w:tcPr>
          <w:p>
            <w:r>
              <w:rPr>
                <w:b w:val="false"/>
                <w:bCs w:val="false"/>
                <w:color w:val="0F2038"/>
                <w:sz w:val="20"/>
                <w:szCs w:val="20"/>
              </w:rPr>
              <w:t xml:space="preserve">63.8%</w:t>
            </w:r>
          </w:p>
        </w:tc>
      </w:tr>
    </w:tbl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Dyeing holds a ~60–70% share of events, cost, and idle-hours in both files independently — this is the one segmentation axis that survives the Data_Main / Data_v2_1 conflict, which is why it is the chosen segment in Section 5.</w:t>
      </w:r>
    </w:p>
    <w:p>
      <w:pPr>
        <w:pStyle w:val="Heading2"/>
        <w:spacing w:after="120" w:before="240"/>
      </w:pPr>
      <w:r>
        <w:t xml:space="preserve">Chart 2 — Cost Concentration by Material (sanity-check on the Session 5 ranking)</w:t>
      </w:r>
    </w:p>
    <w:p>
      <w:pPr>
        <w:spacing w:after="60" w:before="100"/>
        <w:jc w:val="center"/>
      </w:pPr>
      <w:r>
        <w:drawing>
          <wp:inline distT="0" distB="0" distL="0" distR="0">
            <wp:extent cx="5334000" cy="2933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5A6B82"/>
          <w:sz w:val="18"/>
          <w:szCs w:val="18"/>
        </w:rPr>
        <w:t xml:space="preserve">Chart 2 — Material-level cost share, Data_Main vs Data_v2_1. Cotton yarn + the two reactive dyes dominate in Data_Main (30.3% / 23.7% / 21.8%) but the same materials are nearly flat in Data_v2_1 (13.8–19.0% each).</w:t>
      </w:r>
    </w:p>
    <w:p>
      <w:pPr>
        <w:shd w:fill="FBE7E4" w:val="clear"/>
        <w:spacing w:after="160"/>
      </w:pPr>
      <w:r>
        <w:rPr>
          <w:b/>
          <w:bCs/>
          <w:color w:val="C0453B"/>
        </w:rPr>
        <w:t xml:space="preserve">FLAG: </w:t>
      </w:r>
      <w:r>
        <w:rPr>
          <w:color w:val="0F2038"/>
        </w:rPr>
        <w:t xml:space="preserve">The material-level ranking used in the Session 5 prototype (Cotton yarn, Reactive dyes as the 'top' cost drivers) does not reproduce in Data_v2_1.xlsx. It is not used as the basis for the starting segment below. Shop-level concentration is used instead because it is the only finding that is stable across both datasets.</w:t>
      </w:r>
    </w:p>
    <w:p>
      <w:pPr>
        <w:pStyle w:val="Heading1"/>
        <w:spacing w:after="160" w:before="320"/>
      </w:pPr>
      <w:r>
        <w:t xml:space="preserve">3. ROI Triangle</w:t>
      </w:r>
    </w:p>
    <w:p>
      <w:pPr>
        <w:pStyle w:val="Heading2"/>
        <w:spacing w:after="120" w:before="240"/>
      </w:pPr>
      <w:r>
        <w:t xml:space="preserve">3a. Cost of the problem — ~2.22M AZN/year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350"/>
        <w:gridCol w:w="3000"/>
      </w:tblGrid>
      <w:tr>
        <w:trPr>
          <w:tblHeader/>
        </w:trPr>
        <w:tc>
          <w:tcPr>
            <w:tcW w:type="dxa" w:w="4000"/>
            <w:shd w:fill="0F2038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Line item</w:t>
            </w:r>
          </w:p>
        </w:tc>
        <w:tc>
          <w:tcPr>
            <w:tcW w:type="dxa" w:w="2350"/>
            <w:shd w:fill="0F2038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Annual (AZN)</w:t>
            </w:r>
          </w:p>
        </w:tc>
        <w:tc>
          <w:tcPr>
            <w:tcW w:type="dxa" w:w="3000"/>
            <w:shd w:fill="0F2038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Basis</w:t>
            </w:r>
          </w:p>
        </w:tc>
      </w:tr>
      <w:tr>
        <w:tc>
          <w:tcPr>
            <w:tcW w:type="dxa" w:w="4000"/>
            <w:shd w:fill="F7FAFD" w:val="clear"/>
            <w:vAlign w:val="center"/>
          </w:tcPr>
          <w:p>
            <w:r>
              <w:rPr>
                <w:b w:val="false"/>
                <w:bCs w:val="false"/>
                <w:color w:val="0F2038"/>
                <w:sz w:val="20"/>
                <w:szCs w:val="20"/>
              </w:rPr>
              <w:t xml:space="preserve">Line stoppage (idle) cost</w:t>
            </w:r>
          </w:p>
        </w:tc>
        <w:tc>
          <w:tcPr>
            <w:tcW w:type="dxa" w:w="2350"/>
            <w:shd w:fill="F7FAFD" w:val="clear"/>
            <w:vAlign w:val="center"/>
          </w:tcPr>
          <w:p>
            <w:r>
              <w:rPr>
                <w:b w:val="false"/>
                <w:bCs w:val="false"/>
                <w:color w:val="0F2038"/>
                <w:sz w:val="20"/>
                <w:szCs w:val="20"/>
              </w:rPr>
              <w:t xml:space="preserve">~1,282,988</w:t>
            </w:r>
          </w:p>
        </w:tc>
        <w:tc>
          <w:tcPr>
            <w:tcW w:type="dxa" w:w="3000"/>
            <w:shd w:fill="F7FAFD" w:val="clear"/>
            <w:vAlign w:val="center"/>
          </w:tcPr>
          <w:p>
            <w:r>
              <w:rPr>
                <w:b w:val="false"/>
                <w:bCs w:val="false"/>
                <w:color w:val="0F2038"/>
                <w:sz w:val="20"/>
                <w:szCs w:val="20"/>
              </w:rPr>
              <w:t xml:space="preserve">HANDLE TIME — Workers/Machines Affected × Stoppage Duration (hrs)</w:t>
            </w:r>
          </w:p>
        </w:tc>
      </w:tr>
      <w:tr>
        <w:tc>
          <w:tcPr>
            <w:tcW w:type="dxa" w:w="4000"/>
            <w:shd w:fill="FFFFFF" w:val="clear"/>
            <w:vAlign w:val="center"/>
          </w:tcPr>
          <w:p>
            <w:r>
              <w:rPr>
                <w:b w:val="false"/>
                <w:bCs w:val="false"/>
                <w:color w:val="0F2038"/>
                <w:sz w:val="20"/>
                <w:szCs w:val="20"/>
              </w:rPr>
              <w:t xml:space="preserve">Supplier delay / rush-freight rework</w:t>
            </w:r>
          </w:p>
        </w:tc>
        <w:tc>
          <w:tcPr>
            <w:tcW w:type="dxa" w:w="2350"/>
            <w:shd w:fill="FFFFFF" w:val="clear"/>
            <w:vAlign w:val="center"/>
          </w:tcPr>
          <w:p>
            <w:r>
              <w:rPr>
                <w:b w:val="false"/>
                <w:bCs w:val="false"/>
                <w:color w:val="0F2038"/>
                <w:sz w:val="20"/>
                <w:szCs w:val="20"/>
              </w:rPr>
              <w:t xml:space="preserve">~888,000</w:t>
            </w:r>
          </w:p>
        </w:tc>
        <w:tc>
          <w:tcPr>
            <w:tcW w:type="dxa" w:w="3000"/>
            <w:shd w:fill="FFFFFF" w:val="clear"/>
            <w:vAlign w:val="center"/>
          </w:tcPr>
          <w:p>
            <w:r>
              <w:rPr>
                <w:b w:val="false"/>
                <w:bCs w:val="false"/>
                <w:color w:val="0F2038"/>
                <w:sz w:val="20"/>
                <w:szCs w:val="20"/>
              </w:rPr>
              <w:t xml:space="preserve">Volume evidence-backed; AZN/day rate is a SOFT assumption</w:t>
            </w:r>
          </w:p>
        </w:tc>
      </w:tr>
      <w:tr>
        <w:tc>
          <w:tcPr>
            <w:tcW w:type="dxa" w:w="4000"/>
            <w:shd w:fill="F7FAFD" w:val="clear"/>
            <w:vAlign w:val="center"/>
          </w:tcPr>
          <w:p>
            <w:r>
              <w:rPr>
                <w:b w:val="false"/>
                <w:bCs w:val="false"/>
                <w:color w:val="0F2038"/>
                <w:sz w:val="20"/>
                <w:szCs w:val="20"/>
              </w:rPr>
              <w:t xml:space="preserve">Labor/rework hours</w:t>
            </w:r>
          </w:p>
        </w:tc>
        <w:tc>
          <w:tcPr>
            <w:tcW w:type="dxa" w:w="2350"/>
            <w:shd w:fill="F7FAFD" w:val="clear"/>
            <w:vAlign w:val="center"/>
          </w:tcPr>
          <w:p>
            <w:r>
              <w:rPr>
                <w:b w:val="false"/>
                <w:bCs w:val="false"/>
                <w:color w:val="0F2038"/>
                <w:sz w:val="20"/>
                <w:szCs w:val="20"/>
              </w:rPr>
              <w:t xml:space="preserve">~40,242</w:t>
            </w:r>
          </w:p>
        </w:tc>
        <w:tc>
          <w:tcPr>
            <w:tcW w:type="dxa" w:w="3000"/>
            <w:shd w:fill="F7FAFD" w:val="clear"/>
            <w:vAlign w:val="center"/>
          </w:tcPr>
          <w:p>
            <w:r>
              <w:rPr>
                <w:b w:val="false"/>
                <w:bCs w:val="false"/>
                <w:color w:val="0F2038"/>
                <w:sz w:val="20"/>
                <w:szCs w:val="20"/>
              </w:rPr>
              <w:t xml:space="preserve">Volume evidence-backed; AZN/hr rate is a SOFT assumption</w:t>
            </w:r>
          </w:p>
        </w:tc>
      </w:tr>
      <w:tr>
        <w:tc>
          <w:tcPr>
            <w:tcW w:type="dxa" w:w="4000"/>
            <w:shd w:fill="FFFFFF" w:val="clear"/>
            <w:vAlign w:val="center"/>
          </w:tcPr>
          <w:p>
            <w:r>
              <w:rPr>
                <w:b w:val="false"/>
                <w:bCs w:val="false"/>
                <w:color w:val="0F2038"/>
                <w:sz w:val="20"/>
                <w:szCs w:val="20"/>
              </w:rPr>
              <w:t xml:space="preserve">Total (6-mo actual 1,110,216 × 2)</w:t>
            </w:r>
          </w:p>
        </w:tc>
        <w:tc>
          <w:tcPr>
            <w:tcW w:type="dxa" w:w="2350"/>
            <w:shd w:fill="FFFFFF" w:val="clear"/>
            <w:vAlign w:val="center"/>
          </w:tcPr>
          <w:p>
            <w:r>
              <w:rPr>
                <w:b w:val="false"/>
                <w:bCs w:val="false"/>
                <w:color w:val="0F2038"/>
                <w:sz w:val="20"/>
                <w:szCs w:val="20"/>
              </w:rPr>
              <w:t xml:space="preserve">~2,220,458</w:t>
            </w:r>
          </w:p>
        </w:tc>
        <w:tc>
          <w:tcPr>
            <w:tcW w:type="dxa" w:w="3000"/>
            <w:shd w:fill="FFFFFF" w:val="clear"/>
            <w:vAlign w:val="center"/>
          </w:tcPr>
          <w:p>
            <w:r>
              <w:rPr>
                <w:b w:val="false"/>
                <w:bCs w:val="false"/>
                <w:color w:val="0F2038"/>
                <w:sz w:val="20"/>
                <w:szCs w:val="20"/>
              </w:rPr>
              <w:t xml:space="preserve">Simple doubling — see flag below</w:t>
            </w:r>
          </w:p>
        </w:tc>
      </w:tr>
    </w:tbl>
    <w:p>
      <w:pPr>
        <w:shd w:fill="FBE7E4" w:val="clear"/>
        <w:spacing w:after="160"/>
      </w:pPr>
      <w:r>
        <w:rPr>
          <w:b/>
          <w:bCs/>
          <w:color w:val="C0453B"/>
        </w:rPr>
        <w:t xml:space="preserve">FLAG: </w:t>
      </w:r>
      <w:r>
        <w:rPr>
          <w:color w:val="0F2038"/>
        </w:rPr>
        <w:t xml:space="preserve">The 'doubling is a floor, not a ceiling' claim is unresolved. It is only supportable if Data_v2_1's monotonically-rising rate (15.3%→36.3%) is the correct read of reality. Data_Main.xlsx's raw event count instead falls in January. Until the Section 1 data conflict is settled, do not present the 2.22M figure as a conservative floor — present it as a plain annualized estimate with that caveat attached.</w:t>
      </w:r>
    </w:p>
    <w:p>
      <w:pPr>
        <w:pStyle w:val="Heading2"/>
        <w:spacing w:after="120" w:before="240"/>
      </w:pPr>
      <w:r>
        <w:t xml:space="preserve">3b. Handle time vs. resolution time — kept separate, used for different things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2200"/>
        <w:gridCol w:w="1750"/>
      </w:tblGrid>
      <w:tr>
        <w:trPr>
          <w:tblHeader/>
        </w:trPr>
        <w:tc>
          <w:tcPr>
            <w:tcW w:type="dxa" w:w="1800"/>
            <w:shd w:fill="0F2038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600"/>
            <w:shd w:fill="0F2038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  <w:tc>
          <w:tcPr>
            <w:tcW w:type="dxa" w:w="2200"/>
            <w:shd w:fill="0F2038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1750"/>
            <w:shd w:fill="0F2038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Used for</w:t>
            </w:r>
          </w:p>
        </w:tc>
      </w:tr>
      <w:tr>
        <w:tc>
          <w:tcPr>
            <w:tcW w:type="dxa" w:w="1800"/>
            <w:shd w:fill="F7FAFD" w:val="clear"/>
            <w:vAlign w:val="center"/>
          </w:tcPr>
          <w:p>
            <w:r>
              <w:rPr>
                <w:b w:val="false"/>
                <w:bCs w:val="false"/>
                <w:color w:val="0F2038"/>
                <w:sz w:val="20"/>
                <w:szCs w:val="20"/>
              </w:rPr>
              <w:t xml:space="preserve">Handle time</w:t>
            </w:r>
          </w:p>
        </w:tc>
        <w:tc>
          <w:tcPr>
            <w:tcW w:type="dxa" w:w="3600"/>
            <w:shd w:fill="F7FAFD" w:val="clear"/>
            <w:vAlign w:val="center"/>
          </w:tcPr>
          <w:p>
            <w:r>
              <w:rPr>
                <w:b w:val="false"/>
                <w:bCs w:val="false"/>
                <w:color w:val="0F2038"/>
                <w:sz w:val="20"/>
                <w:szCs w:val="20"/>
              </w:rPr>
              <w:t xml:space="preserve">Stoppage Duration (hrs) — how long the line actually sits idle</w:t>
            </w:r>
          </w:p>
        </w:tc>
        <w:tc>
          <w:tcPr>
            <w:tcW w:type="dxa" w:w="2200"/>
            <w:shd w:fill="F7FAFD" w:val="clear"/>
            <w:vAlign w:val="center"/>
          </w:tcPr>
          <w:p>
            <w:r>
              <w:rPr>
                <w:b w:val="false"/>
                <w:bCs w:val="false"/>
                <w:color w:val="0F2038"/>
                <w:sz w:val="20"/>
                <w:szCs w:val="20"/>
              </w:rPr>
              <w:t xml:space="preserve">Mean 11.8–16.5 hrs (varies by dataset)</w:t>
            </w:r>
          </w:p>
        </w:tc>
        <w:tc>
          <w:tcPr>
            <w:tcW w:type="dxa" w:w="1750"/>
            <w:shd w:fill="F7FAFD" w:val="clear"/>
            <w:vAlign w:val="center"/>
          </w:tcPr>
          <w:p>
            <w:r>
              <w:rPr>
                <w:b w:val="false"/>
                <w:bCs w:val="false"/>
                <w:color w:val="0F2038"/>
                <w:sz w:val="20"/>
                <w:szCs w:val="20"/>
              </w:rPr>
              <w:t xml:space="preserve">COST — drives the idle-cost line item above</w:t>
            </w:r>
          </w:p>
        </w:tc>
      </w:tr>
      <w:tr>
        <w:tc>
          <w:tcPr>
            <w:tcW w:type="dxa" w:w="1800"/>
            <w:shd w:fill="FFFFFF" w:val="clear"/>
            <w:vAlign w:val="center"/>
          </w:tcPr>
          <w:p>
            <w:r>
              <w:rPr>
                <w:b w:val="false"/>
                <w:bCs w:val="false"/>
                <w:color w:val="0F2038"/>
                <w:sz w:val="20"/>
                <w:szCs w:val="20"/>
              </w:rPr>
              <w:t xml:space="preserve">Resolution time</w:t>
            </w:r>
          </w:p>
        </w:tc>
        <w:tc>
          <w:tcPr>
            <w:tcW w:type="dxa" w:w="3600"/>
            <w:shd w:fill="FFFFFF" w:val="clear"/>
            <w:vAlign w:val="center"/>
          </w:tcPr>
          <w:p>
            <w:r>
              <w:rPr>
                <w:b w:val="false"/>
                <w:bCs w:val="false"/>
                <w:color w:val="0F2038"/>
                <w:sz w:val="20"/>
                <w:szCs w:val="20"/>
              </w:rPr>
              <w:t xml:space="preserve">Delivery Delay (days) — how long until material physically arrives</w:t>
            </w:r>
          </w:p>
        </w:tc>
        <w:tc>
          <w:tcPr>
            <w:tcW w:type="dxa" w:w="2200"/>
            <w:shd w:fill="FFFFFF" w:val="clear"/>
            <w:vAlign w:val="center"/>
          </w:tcPr>
          <w:p>
            <w:r>
              <w:rPr>
                <w:b w:val="false"/>
                <w:bCs w:val="false"/>
                <w:color w:val="0F2038"/>
                <w:sz w:val="20"/>
                <w:szCs w:val="20"/>
              </w:rPr>
              <w:t xml:space="preserve">Mean 3.5–3.9 days</w:t>
            </w:r>
          </w:p>
        </w:tc>
        <w:tc>
          <w:tcPr>
            <w:tcW w:type="dxa" w:w="1750"/>
            <w:shd w:fill="FFFFFF" w:val="clear"/>
            <w:vAlign w:val="center"/>
          </w:tcPr>
          <w:p>
            <w:r>
              <w:rPr>
                <w:b w:val="false"/>
                <w:bCs w:val="false"/>
                <w:color w:val="0F2038"/>
                <w:sz w:val="20"/>
                <w:szCs w:val="20"/>
              </w:rPr>
              <w:t xml:space="preserve">CUSTOMER / DOWNSTREAM PAIN — drives urgency and the freight-escalation decision, not the cost total</w:t>
            </w:r>
          </w:p>
        </w:tc>
      </w:tr>
    </w:tbl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Correlation between the two is effectively zero (r = 0.04 in Data_Main.xlsx) — a longer supplier delay does not predict a longer line stoppage. They are genuinely separate variables and must not be collapsed into a single 'delay' number.</w:t>
      </w:r>
    </w:p>
    <w:p>
      <w:pPr>
        <w:pStyle w:val="Heading2"/>
        <w:spacing w:after="120" w:before="240"/>
      </w:pPr>
      <w:r>
        <w:t xml:space="preserve">3c. Value of the solution — range, not a number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No captured-value figure exists yet — the riskiest assumption (staff logging discipline) is untested. Below is the math, not a claim.</w:t>
      </w:r>
    </w:p>
    <w:p>
      <w:pPr>
        <w:spacing w:after="140"/>
      </w:pPr>
      <w:r>
        <w:rPr>
          <w:b/>
          <w:bCs/>
        </w:rPr>
        <w:t xml:space="preserve">Formula: </w:t>
      </w:r>
      <w:r>
        <w:rPr>
          <w:i/>
          <w:iCs/>
        </w:rPr>
        <w:t xml:space="preserve">Value = (X% caught) × [Idle cost × 85% avoidance] + (X% caught) × [Freight cost × 50% avoidance] + (X% caught) × [Labor cost × 30% avoidance]</w:t>
      </w:r>
    </w:p>
    <w:p>
      <w:pPr>
        <w:spacing w:after="120"/>
      </w:pPr>
      <w:r>
        <w:rPr>
          <w:b/>
          <w:bCs/>
          <w:color w:val="C08A2D"/>
        </w:rPr>
        <w:t xml:space="preserve">SOFT INPUT: </w:t>
      </w:r>
      <w:r>
        <w:rPr>
          <w:color w:val="0F2038"/>
        </w:rPr>
        <w:t xml:space="preserve">Idle-avoidance factor 85%, freight-avoidance factor 50%, labor-avoidance factor 30% — all three are placeholder estimates, not measured.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50"/>
        <w:gridCol w:w="1850"/>
        <w:gridCol w:w="1850"/>
        <w:gridCol w:w="2000"/>
      </w:tblGrid>
      <w:tr>
        <w:trPr>
          <w:tblHeader/>
        </w:trPr>
        <w:tc>
          <w:tcPr>
            <w:tcW w:type="dxa" w:w="1800"/>
            <w:shd w:fill="0F2038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Catch rate (X%)</w:t>
            </w:r>
          </w:p>
        </w:tc>
        <w:tc>
          <w:tcPr>
            <w:tcW w:type="dxa" w:w="1850"/>
            <w:shd w:fill="0F2038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Idle avoided</w:t>
            </w:r>
          </w:p>
        </w:tc>
        <w:tc>
          <w:tcPr>
            <w:tcW w:type="dxa" w:w="1850"/>
            <w:shd w:fill="0F2038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Freight avoided</w:t>
            </w:r>
          </w:p>
        </w:tc>
        <w:tc>
          <w:tcPr>
            <w:tcW w:type="dxa" w:w="1850"/>
            <w:shd w:fill="0F2038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Labor avoided</w:t>
            </w:r>
          </w:p>
        </w:tc>
        <w:tc>
          <w:tcPr>
            <w:tcW w:type="dxa" w:w="2000"/>
            <w:shd w:fill="0F2038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Total value/yr</w:t>
            </w:r>
          </w:p>
        </w:tc>
      </w:tr>
      <w:tr>
        <w:tc>
          <w:tcPr>
            <w:tcW w:type="dxa" w:w="1800"/>
            <w:shd w:fill="F7FAFD" w:val="clear"/>
            <w:vAlign w:val="center"/>
          </w:tcPr>
          <w:p>
            <w:r>
              <w:rPr>
                <w:b w:val="false"/>
                <w:bCs w:val="false"/>
                <w:color w:val="0F2038"/>
                <w:sz w:val="20"/>
                <w:szCs w:val="20"/>
              </w:rPr>
              <w:t xml:space="preserve">30%</w:t>
            </w:r>
          </w:p>
        </w:tc>
        <w:tc>
          <w:tcPr>
            <w:tcW w:type="dxa" w:w="1850"/>
            <w:shd w:fill="F7FAFD" w:val="clear"/>
            <w:vAlign w:val="center"/>
          </w:tcPr>
          <w:p>
            <w:r>
              <w:rPr>
                <w:b w:val="false"/>
                <w:bCs w:val="false"/>
                <w:color w:val="0F2038"/>
                <w:sz w:val="20"/>
                <w:szCs w:val="20"/>
              </w:rPr>
              <w:t xml:space="preserve">327,162</w:t>
            </w:r>
          </w:p>
        </w:tc>
        <w:tc>
          <w:tcPr>
            <w:tcW w:type="dxa" w:w="1850"/>
            <w:shd w:fill="F7FAFD" w:val="clear"/>
            <w:vAlign w:val="center"/>
          </w:tcPr>
          <w:p>
            <w:r>
              <w:rPr>
                <w:b w:val="false"/>
                <w:bCs w:val="false"/>
                <w:color w:val="0F2038"/>
                <w:sz w:val="20"/>
                <w:szCs w:val="20"/>
              </w:rPr>
              <w:t xml:space="preserve">133,200</w:t>
            </w:r>
          </w:p>
        </w:tc>
        <w:tc>
          <w:tcPr>
            <w:tcW w:type="dxa" w:w="1850"/>
            <w:shd w:fill="F7FAFD" w:val="clear"/>
            <w:vAlign w:val="center"/>
          </w:tcPr>
          <w:p>
            <w:r>
              <w:rPr>
                <w:b w:val="false"/>
                <w:bCs w:val="false"/>
                <w:color w:val="0F2038"/>
                <w:sz w:val="20"/>
                <w:szCs w:val="20"/>
              </w:rPr>
              <w:t xml:space="preserve">3,622</w:t>
            </w:r>
          </w:p>
        </w:tc>
        <w:tc>
          <w:tcPr>
            <w:tcW w:type="dxa" w:w="2000"/>
            <w:shd w:fill="F7FAFD" w:val="clear"/>
            <w:vAlign w:val="center"/>
          </w:tcPr>
          <w:p>
            <w:r>
              <w:rPr>
                <w:b w:val="false"/>
                <w:bCs w:val="false"/>
                <w:color w:val="0F2038"/>
                <w:sz w:val="20"/>
                <w:szCs w:val="20"/>
              </w:rPr>
              <w:t xml:space="preserve">~463,984 AZN</w:t>
            </w:r>
          </w:p>
        </w:tc>
      </w:tr>
      <w:tr>
        <w:tc>
          <w:tcPr>
            <w:tcW w:type="dxa" w:w="1800"/>
            <w:shd w:fill="FFFFFF" w:val="clear"/>
            <w:vAlign w:val="center"/>
          </w:tcPr>
          <w:p>
            <w:r>
              <w:rPr>
                <w:b w:val="false"/>
                <w:bCs w:val="false"/>
                <w:color w:val="0F2038"/>
                <w:sz w:val="20"/>
                <w:szCs w:val="20"/>
              </w:rPr>
              <w:t xml:space="preserve">50%</w:t>
            </w:r>
          </w:p>
        </w:tc>
        <w:tc>
          <w:tcPr>
            <w:tcW w:type="dxa" w:w="1850"/>
            <w:shd w:fill="FFFFFF" w:val="clear"/>
            <w:vAlign w:val="center"/>
          </w:tcPr>
          <w:p>
            <w:r>
              <w:rPr>
                <w:b w:val="false"/>
                <w:bCs w:val="false"/>
                <w:color w:val="0F2038"/>
                <w:sz w:val="20"/>
                <w:szCs w:val="20"/>
              </w:rPr>
              <w:t xml:space="preserve">545,270</w:t>
            </w:r>
          </w:p>
        </w:tc>
        <w:tc>
          <w:tcPr>
            <w:tcW w:type="dxa" w:w="1850"/>
            <w:shd w:fill="FFFFFF" w:val="clear"/>
            <w:vAlign w:val="center"/>
          </w:tcPr>
          <w:p>
            <w:r>
              <w:rPr>
                <w:b w:val="false"/>
                <w:bCs w:val="false"/>
                <w:color w:val="0F2038"/>
                <w:sz w:val="20"/>
                <w:szCs w:val="20"/>
              </w:rPr>
              <w:t xml:space="preserve">222,000</w:t>
            </w:r>
          </w:p>
        </w:tc>
        <w:tc>
          <w:tcPr>
            <w:tcW w:type="dxa" w:w="1850"/>
            <w:shd w:fill="FFFFFF" w:val="clear"/>
            <w:vAlign w:val="center"/>
          </w:tcPr>
          <w:p>
            <w:r>
              <w:rPr>
                <w:b w:val="false"/>
                <w:bCs w:val="false"/>
                <w:color w:val="0F2038"/>
                <w:sz w:val="20"/>
                <w:szCs w:val="20"/>
              </w:rPr>
              <w:t xml:space="preserve">6,036</w:t>
            </w:r>
          </w:p>
        </w:tc>
        <w:tc>
          <w:tcPr>
            <w:tcW w:type="dxa" w:w="2000"/>
            <w:shd w:fill="FFFFFF" w:val="clear"/>
            <w:vAlign w:val="center"/>
          </w:tcPr>
          <w:p>
            <w:r>
              <w:rPr>
                <w:b w:val="false"/>
                <w:bCs w:val="false"/>
                <w:color w:val="0F2038"/>
                <w:sz w:val="20"/>
                <w:szCs w:val="20"/>
              </w:rPr>
              <w:t xml:space="preserve">~773,306 AZN</w:t>
            </w:r>
          </w:p>
        </w:tc>
      </w:tr>
      <w:tr>
        <w:tc>
          <w:tcPr>
            <w:tcW w:type="dxa" w:w="1800"/>
            <w:shd w:fill="F7FAFD" w:val="clear"/>
            <w:vAlign w:val="center"/>
          </w:tcPr>
          <w:p>
            <w:r>
              <w:rPr>
                <w:b w:val="false"/>
                <w:bCs w:val="false"/>
                <w:color w:val="0F2038"/>
                <w:sz w:val="20"/>
                <w:szCs w:val="20"/>
              </w:rPr>
              <w:t xml:space="preserve">70%</w:t>
            </w:r>
          </w:p>
        </w:tc>
        <w:tc>
          <w:tcPr>
            <w:tcW w:type="dxa" w:w="1850"/>
            <w:shd w:fill="F7FAFD" w:val="clear"/>
            <w:vAlign w:val="center"/>
          </w:tcPr>
          <w:p>
            <w:r>
              <w:rPr>
                <w:b w:val="false"/>
                <w:bCs w:val="false"/>
                <w:color w:val="0F2038"/>
                <w:sz w:val="20"/>
                <w:szCs w:val="20"/>
              </w:rPr>
              <w:t xml:space="preserve">763,378</w:t>
            </w:r>
          </w:p>
        </w:tc>
        <w:tc>
          <w:tcPr>
            <w:tcW w:type="dxa" w:w="1850"/>
            <w:shd w:fill="F7FAFD" w:val="clear"/>
            <w:vAlign w:val="center"/>
          </w:tcPr>
          <w:p>
            <w:r>
              <w:rPr>
                <w:b w:val="false"/>
                <w:bCs w:val="false"/>
                <w:color w:val="0F2038"/>
                <w:sz w:val="20"/>
                <w:szCs w:val="20"/>
              </w:rPr>
              <w:t xml:space="preserve">310,800</w:t>
            </w:r>
          </w:p>
        </w:tc>
        <w:tc>
          <w:tcPr>
            <w:tcW w:type="dxa" w:w="1850"/>
            <w:shd w:fill="F7FAFD" w:val="clear"/>
            <w:vAlign w:val="center"/>
          </w:tcPr>
          <w:p>
            <w:r>
              <w:rPr>
                <w:b w:val="false"/>
                <w:bCs w:val="false"/>
                <w:color w:val="0F2038"/>
                <w:sz w:val="20"/>
                <w:szCs w:val="20"/>
              </w:rPr>
              <w:t xml:space="preserve">8,451</w:t>
            </w:r>
          </w:p>
        </w:tc>
        <w:tc>
          <w:tcPr>
            <w:tcW w:type="dxa" w:w="2000"/>
            <w:shd w:fill="F7FAFD" w:val="clear"/>
            <w:vAlign w:val="center"/>
          </w:tcPr>
          <w:p>
            <w:r>
              <w:rPr>
                <w:b w:val="false"/>
                <w:bCs w:val="false"/>
                <w:color w:val="0F2038"/>
                <w:sz w:val="20"/>
                <w:szCs w:val="20"/>
              </w:rPr>
              <w:t xml:space="preserve">~1,082,629 AZN</w:t>
            </w:r>
          </w:p>
        </w:tc>
      </w:tr>
    </w:tbl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Range used for the triangle: ~460,000–1,080,000 AZN/year, entirely dependent on an unvalidated catch rate.</w:t>
      </w:r>
    </w:p>
    <w:p>
      <w:pPr>
        <w:pStyle w:val="Heading2"/>
        <w:spacing w:after="120" w:before="240"/>
      </w:pPr>
      <w:r>
        <w:t xml:space="preserve">3d. Cost to build — rough, unquoted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00"/>
        <w:gridCol w:w="3550"/>
      </w:tblGrid>
      <w:tr>
        <w:trPr>
          <w:tblHeader/>
        </w:trPr>
        <w:tc>
          <w:tcPr>
            <w:tcW w:type="dxa" w:w="5800"/>
            <w:shd w:fill="0F2038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550"/>
            <w:shd w:fill="0F2038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</w:tr>
      <w:tr>
        <w:tc>
          <w:tcPr>
            <w:tcW w:type="dxa" w:w="5800"/>
            <w:shd w:fill="F7FAFD" w:val="clear"/>
            <w:vAlign w:val="center"/>
          </w:tcPr>
          <w:p>
            <w:r>
              <w:rPr>
                <w:b w:val="false"/>
                <w:bCs w:val="false"/>
                <w:color w:val="0F2038"/>
                <w:sz w:val="20"/>
                <w:szCs w:val="20"/>
              </w:rPr>
              <w:t xml:space="preserve">Stock log integration + reorder-point calc (rule-based)</w:t>
            </w:r>
          </w:p>
        </w:tc>
        <w:tc>
          <w:tcPr>
            <w:tcW w:type="dxa" w:w="3550"/>
            <w:shd w:fill="F7FAFD" w:val="clear"/>
            <w:vAlign w:val="center"/>
          </w:tcPr>
          <w:p>
            <w:r>
              <w:rPr>
                <w:b w:val="false"/>
                <w:bCs w:val="false"/>
                <w:color w:val="0F2038"/>
                <w:sz w:val="20"/>
                <w:szCs w:val="20"/>
              </w:rPr>
              <w:t xml:space="preserve">Small — formula defined, mainly data-entry/integration</w:t>
            </w:r>
          </w:p>
        </w:tc>
      </w:tr>
      <w:tr>
        <w:tc>
          <w:tcPr>
            <w:tcW w:type="dxa" w:w="5800"/>
            <w:shd w:fill="FFFFFF" w:val="clear"/>
            <w:vAlign w:val="center"/>
          </w:tcPr>
          <w:p>
            <w:r>
              <w:rPr>
                <w:b w:val="false"/>
                <w:bCs w:val="false"/>
                <w:color w:val="0F2038"/>
                <w:sz w:val="20"/>
                <w:szCs w:val="20"/>
              </w:rPr>
              <w:t xml:space="preserve">Alert distribution</w:t>
            </w:r>
          </w:p>
        </w:tc>
        <w:tc>
          <w:tcPr>
            <w:tcW w:type="dxa" w:w="3550"/>
            <w:shd w:fill="FFFFFF" w:val="clear"/>
            <w:vAlign w:val="center"/>
          </w:tcPr>
          <w:p>
            <w:r>
              <w:rPr>
                <w:b w:val="false"/>
                <w:bCs w:val="false"/>
                <w:color w:val="0F2038"/>
                <w:sz w:val="20"/>
                <w:szCs w:val="20"/>
              </w:rPr>
              <w:t xml:space="preserve">Small — mechanical broadcast</w:t>
            </w:r>
          </w:p>
        </w:tc>
      </w:tr>
      <w:tr>
        <w:tc>
          <w:tcPr>
            <w:tcW w:type="dxa" w:w="5800"/>
            <w:shd w:fill="F7FAFD" w:val="clear"/>
            <w:vAlign w:val="center"/>
          </w:tcPr>
          <w:p>
            <w:r>
              <w:rPr>
                <w:b w:val="false"/>
                <w:bCs w:val="false"/>
                <w:color w:val="0F2038"/>
                <w:sz w:val="20"/>
                <w:szCs w:val="20"/>
              </w:rPr>
              <w:t xml:space="preserve">AI-assisted reorder/rush-freight recommendation (recommend-only, HITL)</w:t>
            </w:r>
          </w:p>
        </w:tc>
        <w:tc>
          <w:tcPr>
            <w:tcW w:type="dxa" w:w="3550"/>
            <w:shd w:fill="F7FAFD" w:val="clear"/>
            <w:vAlign w:val="center"/>
          </w:tcPr>
          <w:p>
            <w:r>
              <w:rPr>
                <w:b w:val="false"/>
                <w:bCs w:val="false"/>
                <w:color w:val="0F2038"/>
                <w:sz w:val="20"/>
                <w:szCs w:val="20"/>
              </w:rPr>
              <w:t xml:space="preserve">Medium — needs ≥90-day history pipeline, confidence threshold, fallback UI</w:t>
            </w:r>
          </w:p>
        </w:tc>
      </w:tr>
      <w:tr>
        <w:tc>
          <w:tcPr>
            <w:tcW w:type="dxa" w:w="5800"/>
            <w:shd w:fill="FFFFFF" w:val="clear"/>
            <w:vAlign w:val="center"/>
          </w:tcPr>
          <w:p>
            <w:r>
              <w:rPr>
                <w:b w:val="false"/>
                <w:bCs w:val="false"/>
                <w:color w:val="0F2038"/>
                <w:sz w:val="20"/>
                <w:szCs w:val="20"/>
              </w:rPr>
              <w:t xml:space="preserve">Rough one-time build</w:t>
            </w:r>
          </w:p>
        </w:tc>
        <w:tc>
          <w:tcPr>
            <w:tcW w:type="dxa" w:w="3550"/>
            <w:shd w:fill="FFFFFF" w:val="clear"/>
            <w:vAlign w:val="center"/>
          </w:tcPr>
          <w:p>
            <w:r>
              <w:rPr>
                <w:b w:val="false"/>
                <w:bCs w:val="false"/>
                <w:color w:val="0F2038"/>
                <w:sz w:val="20"/>
                <w:szCs w:val="20"/>
              </w:rPr>
              <w:t xml:space="preserve">~15,000–40,000 AZN (1–2 developers, 4–8 weeks, no sourced quote)</w:t>
            </w:r>
          </w:p>
        </w:tc>
      </w:tr>
      <w:tr>
        <w:tc>
          <w:tcPr>
            <w:tcW w:type="dxa" w:w="5800"/>
            <w:shd w:fill="F7FAFD" w:val="clear"/>
            <w:vAlign w:val="center"/>
          </w:tcPr>
          <w:p>
            <w:r>
              <w:rPr>
                <w:b w:val="false"/>
                <w:bCs w:val="false"/>
                <w:color w:val="0F2038"/>
                <w:sz w:val="20"/>
                <w:szCs w:val="20"/>
              </w:rPr>
              <w:t xml:space="preserve">Ongoing hosting/maintenance</w:t>
            </w:r>
          </w:p>
        </w:tc>
        <w:tc>
          <w:tcPr>
            <w:tcW w:type="dxa" w:w="3550"/>
            <w:shd w:fill="F7FAFD" w:val="clear"/>
            <w:vAlign w:val="center"/>
          </w:tcPr>
          <w:p>
            <w:r>
              <w:rPr>
                <w:b w:val="false"/>
                <w:bCs w:val="false"/>
                <w:color w:val="0F2038"/>
                <w:sz w:val="20"/>
                <w:szCs w:val="20"/>
              </w:rPr>
              <w:t xml:space="preserve">~500–1,500 AZN/month</w:t>
            </w:r>
          </w:p>
        </w:tc>
      </w:tr>
    </w:tbl>
    <w:p>
      <w:pPr>
        <w:spacing w:after="120"/>
      </w:pPr>
      <w:r>
        <w:rPr>
          <w:b/>
          <w:bCs/>
          <w:color w:val="C08A2D"/>
        </w:rPr>
        <w:t xml:space="preserve">SOFT INPUT: </w:t>
      </w:r>
      <w:r>
        <w:rPr>
          <w:color w:val="0F2038"/>
        </w:rPr>
        <w:t xml:space="preserve">No Giltex-sourced engineering quote exists anywhere in the project materials. This is a generic estimate and should not be repeated as fact until a real quote is obtained.</w:t>
      </w:r>
    </w:p>
    <w:p>
      <w:pPr>
        <w:pStyle w:val="Heading2"/>
        <w:spacing w:after="120" w:before="240"/>
      </w:pPr>
      <w:r>
        <w:t xml:space="preserve">3e. Does it pay for itself?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Low-value / high-cost case: 40,000 ÷ 460,000 ≈ 0.09 years (~1 month). High-value / low-cost case: 15,000 ÷ 1,082,629 ≈ 0.014 years (~5 days). On paper, payback is days to about a month under every tested combination.</w:t>
      </w:r>
    </w:p>
    <w:p>
      <w:pPr>
        <w:shd w:fill="FBE7E4" w:val="clear"/>
        <w:spacing w:after="160"/>
      </w:pPr>
      <w:r>
        <w:rPr>
          <w:b/>
          <w:bCs/>
          <w:color w:val="C0453B"/>
        </w:rPr>
        <w:t xml:space="preserve">FLAG: </w:t>
      </w:r>
      <w:r>
        <w:rPr>
          <w:color w:val="0F2038"/>
        </w:rPr>
        <w:t xml:space="preserve">Section 3c's value range is too speculative to present without a pilot. It stacks three unmeasured avoidance factors on top of an unproven behavioral assumption (Product Brief §6 — will warehouse staff log stock consistently at all?). If staff logging discipline fails, the catch rate collapses toward 0%, and the payback speed is irrelevant because the numerator is zero. Present this as the shape of the payoff conditional on a pilot, never as a committed number.</w:t>
      </w:r>
    </w:p>
    <w:p>
      <w:pPr>
        <w:pStyle w:val="Heading1"/>
        <w:spacing w:after="160" w:before="320"/>
      </w:pPr>
      <w:r>
        <w:t xml:space="preserve">4. Do-Nothing Baseline</w:t>
      </w:r>
    </w:p>
    <w:p>
      <w:pPr>
        <w:spacing w:after="200"/>
      </w:pPr>
      <w:r>
        <w:rPr>
          <w:color w:val="0F2038"/>
        </w:rPr>
        <w:t xml:space="preserve">If detection stays reactive, Giltex keeps paying at minimum today's ~2.22M AZN/year run-rate for a failure mode that is caught 0% of the time before it happens — and if Data_v2_1's rising shortage-rate trend (15.3%→36.3%) is the correct read rather than Data_Main's flattening one, that run-rate keeps climbing, not holding steady.</w:t>
      </w:r>
    </w:p>
    <w:p>
      <w:pPr>
        <w:pStyle w:val="Heading1"/>
        <w:spacing w:after="160" w:before="320"/>
      </w:pPr>
      <w:r>
        <w:t xml:space="preserve">5. Chosen Starting Segment</w:t>
      </w:r>
    </w:p>
    <w:p>
      <w:pPr>
        <w:pStyle w:val="Heading2"/>
        <w:spacing w:after="120" w:before="240"/>
      </w:pPr>
      <w:r>
        <w:t xml:space="preserve">Segment: Dyeing shop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Share of pain held: ~60–63% of cost, ~63% of events, ~64–70% of idle-hours — the exact share depends on which file is used, but it is consistently the majority of the problem in both.</w:t>
      </w:r>
    </w:p>
    <w:p>
      <w:pPr>
        <w:pStyle w:val="Heading2"/>
        <w:spacing w:after="120" w:before="240"/>
      </w:pPr>
      <w:r>
        <w:t xml:space="preserve">Competing segments tested and rejected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750"/>
      </w:tblGrid>
      <w:tr>
        <w:trPr>
          <w:tblHeader/>
        </w:trPr>
        <w:tc>
          <w:tcPr>
            <w:tcW w:type="dxa" w:w="2400"/>
            <w:shd w:fill="0F2038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Candidate segment</w:t>
            </w:r>
          </w:p>
        </w:tc>
        <w:tc>
          <w:tcPr>
            <w:tcW w:type="dxa" w:w="2200"/>
            <w:shd w:fill="0F2038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Best single-slice share</w:t>
            </w:r>
          </w:p>
        </w:tc>
        <w:tc>
          <w:tcPr>
            <w:tcW w:type="dxa" w:w="4750"/>
            <w:shd w:fill="0F2038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Why rejected as the wedge</w:t>
            </w:r>
          </w:p>
        </w:tc>
      </w:tr>
      <w:tr>
        <w:tc>
          <w:tcPr>
            <w:tcW w:type="dxa" w:w="2400"/>
            <w:shd w:fill="F7FAFD" w:val="clear"/>
            <w:vAlign w:val="center"/>
          </w:tcPr>
          <w:p>
            <w:r>
              <w:rPr>
                <w:b w:val="false"/>
                <w:bCs w:val="false"/>
                <w:color w:val="0F2038"/>
                <w:sz w:val="20"/>
                <w:szCs w:val="20"/>
              </w:rPr>
              <w:t xml:space="preserve">By material category (Yarn/Dye/Chemical)</w:t>
            </w:r>
          </w:p>
        </w:tc>
        <w:tc>
          <w:tcPr>
            <w:tcW w:type="dxa" w:w="2200"/>
            <w:shd w:fill="F7FAFD" w:val="clear"/>
            <w:vAlign w:val="center"/>
          </w:tcPr>
          <w:p>
            <w:r>
              <w:rPr>
                <w:b w:val="false"/>
                <w:bCs w:val="false"/>
                <w:color w:val="0F2038"/>
                <w:sz w:val="20"/>
                <w:szCs w:val="20"/>
              </w:rPr>
              <w:t xml:space="preserve">45–49% (Dye, Data_Main only)</w:t>
            </w:r>
          </w:p>
        </w:tc>
        <w:tc>
          <w:tcPr>
            <w:tcW w:type="dxa" w:w="4750"/>
            <w:shd w:fill="F7FAFD" w:val="clear"/>
            <w:vAlign w:val="center"/>
          </w:tcPr>
          <w:p>
            <w:r>
              <w:rPr>
                <w:b w:val="false"/>
                <w:bCs w:val="false"/>
                <w:color w:val="0F2038"/>
                <w:sz w:val="20"/>
                <w:szCs w:val="20"/>
              </w:rPr>
              <w:t xml:space="preserve">3 buckets, none dominant; doesn't reproduce cleanly in Data_v2_1 (31–37%, flat)</w:t>
            </w:r>
          </w:p>
        </w:tc>
      </w:tr>
      <w:tr>
        <w:tc>
          <w:tcPr>
            <w:tcW w:type="dxa" w:w="2400"/>
            <w:shd w:fill="FFFFFF" w:val="clear"/>
            <w:vAlign w:val="center"/>
          </w:tcPr>
          <w:p>
            <w:r>
              <w:rPr>
                <w:b w:val="false"/>
                <w:bCs w:val="false"/>
                <w:color w:val="0F2038"/>
                <w:sz w:val="20"/>
                <w:szCs w:val="20"/>
              </w:rPr>
              <w:t xml:space="preserve">By individual material (Cotton yarn, dyes, etc.)</w:t>
            </w:r>
          </w:p>
        </w:tc>
        <w:tc>
          <w:tcPr>
            <w:tcW w:type="dxa" w:w="2200"/>
            <w:shd w:fill="FFFFFF" w:val="clear"/>
            <w:vAlign w:val="center"/>
          </w:tcPr>
          <w:p>
            <w:r>
              <w:rPr>
                <w:b w:val="false"/>
                <w:bCs w:val="false"/>
                <w:color w:val="0F2038"/>
                <w:sz w:val="20"/>
                <w:szCs w:val="20"/>
              </w:rPr>
              <w:t xml:space="preserve">30.3% cost (Cotton yarn, Data_Main only)</w:t>
            </w:r>
          </w:p>
        </w:tc>
        <w:tc>
          <w:tcPr>
            <w:tcW w:type="dxa" w:w="4750"/>
            <w:shd w:fill="FFFFFF" w:val="clear"/>
            <w:vAlign w:val="center"/>
          </w:tcPr>
          <w:p>
            <w:r>
              <w:rPr>
                <w:b w:val="false"/>
                <w:bCs w:val="false"/>
                <w:color w:val="0F2038"/>
                <w:sz w:val="20"/>
                <w:szCs w:val="20"/>
              </w:rPr>
              <w:t xml:space="preserve">Does not replicate in Data_v2_1 — same material is 19.0% there, and the full ranking is flat (13.8–19.0% across all six materials). Not cross-validated.</w:t>
            </w:r>
          </w:p>
        </w:tc>
      </w:tr>
      <w:tr>
        <w:tc>
          <w:tcPr>
            <w:tcW w:type="dxa" w:w="2400"/>
            <w:shd w:fill="F7FAFD" w:val="clear"/>
            <w:vAlign w:val="center"/>
          </w:tcPr>
          <w:p>
            <w:r>
              <w:rPr>
                <w:b w:val="false"/>
                <w:bCs w:val="false"/>
                <w:color w:val="0F2038"/>
                <w:sz w:val="20"/>
                <w:szCs w:val="20"/>
              </w:rPr>
              <w:t xml:space="preserve">By month (Dec 2025 peak)</w:t>
            </w:r>
          </w:p>
        </w:tc>
        <w:tc>
          <w:tcPr>
            <w:tcW w:type="dxa" w:w="2200"/>
            <w:shd w:fill="F7FAFD" w:val="clear"/>
            <w:vAlign w:val="center"/>
          </w:tcPr>
          <w:p>
            <w:r>
              <w:rPr>
                <w:b w:val="false"/>
                <w:bCs w:val="false"/>
                <w:color w:val="0F2038"/>
                <w:sz w:val="20"/>
                <w:szCs w:val="20"/>
              </w:rPr>
              <w:t xml:space="preserve">27–28%</w:t>
            </w:r>
          </w:p>
        </w:tc>
        <w:tc>
          <w:tcPr>
            <w:tcW w:type="dxa" w:w="4750"/>
            <w:shd w:fill="F7FAFD" w:val="clear"/>
            <w:vAlign w:val="center"/>
          </w:tcPr>
          <w:p>
            <w:r>
              <w:rPr>
                <w:b w:val="false"/>
                <w:bCs w:val="false"/>
                <w:color w:val="0F2038"/>
                <w:sz w:val="20"/>
                <w:szCs w:val="20"/>
              </w:rPr>
              <w:t xml:space="preserve">Real, but temporal, not actionable — you cannot design a product feature for 'December'</w:t>
            </w:r>
          </w:p>
        </w:tc>
      </w:tr>
      <w:tr>
        <w:tc>
          <w:tcPr>
            <w:tcW w:type="dxa" w:w="2400"/>
            <w:shd w:fill="FFFFFF" w:val="clear"/>
            <w:vAlign w:val="center"/>
          </w:tcPr>
          <w:p>
            <w:r>
              <w:rPr>
                <w:b w:val="false"/>
                <w:bCs w:val="false"/>
                <w:color w:val="0F2038"/>
                <w:sz w:val="20"/>
                <w:szCs w:val="20"/>
              </w:rPr>
              <w:t xml:space="preserve">By shop (Dyeing)</w:t>
            </w:r>
          </w:p>
        </w:tc>
        <w:tc>
          <w:tcPr>
            <w:tcW w:type="dxa" w:w="2200"/>
            <w:shd w:fill="FFFFFF" w:val="clear"/>
            <w:vAlign w:val="center"/>
          </w:tcPr>
          <w:p>
            <w:r>
              <w:rPr>
                <w:b w:val="false"/>
                <w:bCs w:val="false"/>
                <w:color w:val="0F2038"/>
                <w:sz w:val="20"/>
                <w:szCs w:val="20"/>
              </w:rPr>
              <w:t xml:space="preserve">60–63%, cross-validated in both files</w:t>
            </w:r>
          </w:p>
        </w:tc>
        <w:tc>
          <w:tcPr>
            <w:tcW w:type="dxa" w:w="4750"/>
            <w:shd w:fill="FFFFFF" w:val="clear"/>
            <w:vAlign w:val="center"/>
          </w:tcPr>
          <w:p>
            <w:r>
              <w:rPr>
                <w:b w:val="false"/>
                <w:bCs w:val="false"/>
                <w:color w:val="0F2038"/>
                <w:sz w:val="20"/>
                <w:szCs w:val="20"/>
              </w:rPr>
              <w:t xml:space="preserve">Chosen — smallest segment (1 of only 2 possible shop values) that holds the largest, most stable share of the problem</w:t>
            </w:r>
          </w:p>
        </w:tc>
      </w:tr>
    </w:tbl>
    <w:p>
      <w:pPr>
        <w:pStyle w:val="Heading2"/>
        <w:spacing w:after="120" w:before="240"/>
      </w:pPr>
      <w:r>
        <w:t xml:space="preserve">Why Dyeing is a merged group, and what was combined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Dyeing shop is not one material — it is a combined group of four material types (Reactive blue dye, Reactive red dye, Hydrogen peroxide, Caustic soda) that are treated as one segment rather than split further. That merge is deliberate: the material-level split inside Dyeing is exactly the axis that failed the cross-dataset check above (flat and unstable in Data_v2_1). Grouping by shop instead of by individual material avoids designing a wedge around a ranking that may just be noise in one file. The combined group is justified by process, not convenience: all four materials share the same shop, the same worker population, and the same detection/reporting pathway — the thing actually being redesigned (threshold alerting) operates at the shop level regardless of which specific chemical is short.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This replaces the Product Brief's original placeholder wedge ("Shop Worker lane, at moment of batch start"), which was a process stage identical across both shops and did not discriminate on where the cost concentrates.</w:t>
      </w:r>
    </w:p>
    <w:p>
      <w:pPr>
        <w:pStyle w:val="Heading1"/>
        <w:spacing w:after="160" w:before="320"/>
      </w:pPr>
      <w:r>
        <w:t xml:space="preserve">The Number That Makes Action Necessary</w:t>
      </w:r>
    </w:p>
    <w:p>
      <w:pPr>
        <w:spacing w:after="200"/>
      </w:pPr>
      <w:r>
        <w:rPr>
          <w:color w:val="0F2038"/>
        </w:rPr>
        <w:t xml:space="preserve">Dyeing shop alone is losing approximately </w:t>
      </w:r>
      <w:r>
        <w:rPr>
          <w:b/>
          <w:bCs/>
          <w:color w:val="C0453B"/>
        </w:rPr>
        <w:t xml:space="preserve">1.4M AZN per year</w:t>
      </w:r>
      <w:r>
        <w:rPr>
          <w:color w:val="0F2038"/>
        </w:rPr>
        <w:t xml:space="preserve"> (63% of the ~2.22M AZN total) to a shortage-detection process that catches nothing before the line stops — in a single shop, out of two, with zero proactive detection today.</w:t>
      </w:r>
    </w:p>
    <w:p>
      <w:pPr>
        <w:spacing w:after="140"/>
      </w:pPr>
      <w:r>
        <w:rPr>
          <w:b w:val="false"/>
          <w:bCs w:val="false"/>
          <w:i/>
          <w:iCs/>
          <w:color w:val="5A6B82"/>
          <w:sz w:val="20"/>
          <w:szCs w:val="20"/>
        </w:rPr>
        <w:t xml:space="preserve">This submission does not rest on an average. It names the segment (Dyeing shop, cross-validated at ~60–63% of the problem), the baseline (Section 4), and the single number above as the basis for action — with every soft input flagged rather than smoothed over.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ebbde30083e3b71cf9af81474995c33737bc1265.png"/><Relationship Id="rId8" Type="http://schemas.openxmlformats.org/officeDocument/2006/relationships/image" Target="media/b78b80619fdea96a98ac342daff2a50ceb331903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2026-08-08T18:20:49.529Z</dcterms:created>
  <dcterms:modified xsi:type="dcterms:W3CDTF">2026-08-08T18:20:49.541Z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