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png" ContentType="image/png"/>
  <Override PartName="/word/media/image5.jpeg" ContentType="image/jpeg"/>
  <Override PartName="/word/media/image6.wmf" ContentType="image/x-wmf"/>
  <Override PartName="/word/media/image7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hanging="0" w:left="0"/>
        <w:jc w:val="right"/>
        <w:rPr>
          <w:sz w:val="26"/>
          <w:szCs w:val="26"/>
        </w:rPr>
      </w:pPr>
      <w:r>
        <w:rPr>
          <w:szCs w:val="24"/>
        </w:rPr>
        <w:t xml:space="preserve">                                                                                      </w:t>
      </w: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/>
      </w:pPr>
      <w:r>
        <w:rPr/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8">
            <wp:simplePos x="0" y="0"/>
            <wp:positionH relativeFrom="column">
              <wp:posOffset>4947285</wp:posOffset>
            </wp:positionH>
            <wp:positionV relativeFrom="paragraph">
              <wp:posOffset>163195</wp:posOffset>
            </wp:positionV>
            <wp:extent cx="590550" cy="77152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4318" t="6233" r="21689" b="54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>АО  « ТАШКЕНТСКАЯ ТЭС»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</w:r>
    </w:p>
    <w:p>
      <w:pPr>
        <w:pStyle w:val="Normal"/>
        <w:jc w:val="right"/>
        <w:rPr>
          <w:color w:val="595959"/>
        </w:rPr>
      </w:pPr>
      <w:r>
        <w:rPr>
          <w:color w:val="595959"/>
        </w:rPr>
        <w:t xml:space="preserve">             </w:t>
      </w:r>
    </w:p>
    <w:p>
      <w:pPr>
        <w:pStyle w:val="BodyTextIndent"/>
        <w:jc w:val="both"/>
        <w:rPr>
          <w:color w:val="595959"/>
        </w:rPr>
      </w:pPr>
      <w:r>
        <w:rPr>
          <w:color w:val="595959"/>
        </w:rPr>
      </w:r>
    </w:p>
    <w:p>
      <w:pPr>
        <w:pStyle w:val="BodyTextIndent"/>
        <w:jc w:val="center"/>
        <w:rPr>
          <w:b/>
        </w:rPr>
      </w:pPr>
      <w:r>
        <w:rPr>
          <w:b/>
        </w:rPr>
        <w:t>ПРОГРАММА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  <w:t xml:space="preserve">опробование защиты  турбогенератора от разгона 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  <w:t>после среднего  ремонта блока №2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BodyTextIndent"/>
        <w:numPr>
          <w:ilvl w:val="0"/>
          <w:numId w:val="4"/>
        </w:numPr>
        <w:rPr>
          <w:b/>
        </w:rPr>
      </w:pPr>
      <w:r>
        <w:rPr>
          <w:b/>
        </w:rPr>
        <w:t>ПОДГОТОВИТЕЛЬНЫЕ РАБОТЫ.</w:t>
      </w:r>
    </w:p>
    <w:p>
      <w:pPr>
        <w:pStyle w:val="BodyTextIndent"/>
        <w:jc w:val="both"/>
        <w:rPr/>
      </w:pPr>
      <w:r>
        <w:rPr/>
        <w:t>1.1. Давление водорода в корпусе генератора должно быть номинальным (3.0 кгс/см</w:t>
      </w:r>
      <w:r>
        <w:rPr>
          <w:vertAlign w:val="superscript"/>
        </w:rPr>
        <w:t>2</w:t>
      </w:r>
      <w:r>
        <w:rPr/>
        <w:t>).</w:t>
      </w:r>
    </w:p>
    <w:p>
      <w:pPr>
        <w:pStyle w:val="BodyTextIndent"/>
        <w:jc w:val="both"/>
        <w:rPr/>
      </w:pPr>
      <w:r>
        <w:rPr/>
        <w:t>1.2. Должны быть включены в работу НГО, НВОС.</w:t>
      </w:r>
    </w:p>
    <w:p>
      <w:pPr>
        <w:pStyle w:val="BodyTextIndent"/>
        <w:jc w:val="both"/>
        <w:rPr/>
      </w:pPr>
      <w:r>
        <w:rPr/>
        <w:t>1.3. Вывести ТГ на холостой ход.</w:t>
      </w:r>
    </w:p>
    <w:p>
      <w:pPr>
        <w:pStyle w:val="BodyTextIndent"/>
        <w:jc w:val="both"/>
        <w:rPr/>
      </w:pPr>
      <w:r>
        <w:rPr/>
        <w:t>1.4. Установить синхронизатором частоту вращения ротора 3000 об/мин. Зафиксировать положение сервомоторов ВД и ПП на холостом ходу.</w:t>
      </w:r>
    </w:p>
    <w:p>
      <w:pPr>
        <w:pStyle w:val="BodyTextIndent"/>
        <w:jc w:val="both"/>
        <w:rPr/>
      </w:pPr>
      <w:r>
        <w:rPr/>
        <w:t>1.5. Проверить срабатывание защиты воздействием на кнопку ручного отключения ГАБ при номинальной частоте вращения роторов ТГ, т.е. при 3000 об/мин.</w:t>
      </w:r>
    </w:p>
    <w:p>
      <w:pPr>
        <w:pStyle w:val="BodyTextIndent"/>
        <w:jc w:val="both"/>
        <w:rPr/>
      </w:pPr>
      <w:r>
        <w:rPr/>
        <w:t>1.5.1. Визуально по указателям положения определить полное закрытие сервомоторов высокого и среднего давления. Сервомоторы должны закрываться энергично без заеданий на полный ход.</w:t>
      </w:r>
    </w:p>
    <w:p>
      <w:pPr>
        <w:pStyle w:val="BodyTextIndent"/>
        <w:jc w:val="both"/>
        <w:rPr/>
      </w:pPr>
      <w:r>
        <w:rPr/>
        <w:t xml:space="preserve">1.5.2. После отключения обороты  турбины должны резко понижаться. </w:t>
      </w:r>
    </w:p>
    <w:p>
      <w:pPr>
        <w:pStyle w:val="BodyTextIndent"/>
        <w:jc w:val="both"/>
        <w:rPr/>
      </w:pPr>
      <w:r>
        <w:rPr>
          <w:b/>
          <w:i/>
          <w:szCs w:val="24"/>
        </w:rPr>
        <w:t>ПРИМЕЧАНИЕ:</w:t>
      </w:r>
      <w:r>
        <w:rPr>
          <w:szCs w:val="24"/>
        </w:rPr>
        <w:t xml:space="preserve"> При ненадежном закрытии (медленном, неполном) хотя бы одного из элементов парораспределения и если обороты турбины не уменьшаются, производство дальнейших операций запрещается. Должны быть приняты меры по устранению выявленных дефектов.</w:t>
      </w:r>
    </w:p>
    <w:p>
      <w:pPr>
        <w:pStyle w:val="BodyTextIndent"/>
        <w:jc w:val="both"/>
        <w:rPr/>
      </w:pPr>
      <w:r>
        <w:rPr/>
        <w:t>1.6. Поднять частоту вращения ротора до 2900 об/мин., вывести при помощи рычага ЗРБ 1-е кольцо и подать масло. Указатель рычага в положении “1”, рукоятка трехходового крана в положении ”1”.</w:t>
      </w:r>
    </w:p>
    <w:p>
      <w:pPr>
        <w:pStyle w:val="BodyTextIndent"/>
        <w:jc w:val="both"/>
        <w:rPr/>
      </w:pPr>
      <w:r>
        <w:rPr/>
        <w:t>1.6.1. Плавно повышая частоту вращения ротора добиться срабатывания кольца и посадки стопорных и регулирующих клапанов – при 3000 об/мин.</w:t>
      </w:r>
    </w:p>
    <w:p>
      <w:pPr>
        <w:pStyle w:val="BodyTextIndent"/>
        <w:jc w:val="both"/>
        <w:rPr/>
      </w:pPr>
      <w:r>
        <w:rPr/>
        <w:t>1.6.2. По тахометру фиксируется значение частоты вращения, при которой сработало испытуемое кольцо.</w:t>
      </w:r>
    </w:p>
    <w:p>
      <w:pPr>
        <w:pStyle w:val="BodyTextIndent"/>
        <w:numPr>
          <w:ilvl w:val="2"/>
          <w:numId w:val="5"/>
        </w:numPr>
        <w:jc w:val="both"/>
        <w:rPr/>
      </w:pPr>
      <w:r>
        <w:rPr/>
        <w:t>Аналогично испытывается кольцо №2.</w:t>
      </w:r>
    </w:p>
    <w:p>
      <w:pPr>
        <w:pStyle w:val="BodyTextIndent"/>
        <w:jc w:val="both"/>
        <w:rPr/>
      </w:pPr>
      <w:r>
        <w:rPr>
          <w:b/>
          <w:i/>
        </w:rPr>
        <w:t>ПРИМЕЧАНИЕ:</w:t>
      </w:r>
      <w:r>
        <w:rPr/>
        <w:t xml:space="preserve"> При испытании маслом не поднимать частоту вращения выше 3100 об/мин. Если при этой частоте вращения кольцо не сработало при подаче на него масла, скорректировать настройку по заводским данным. Переключение рычага ЗРБ на 2-е кольцо производить только после посадки испытуемого кольца (контроль производить по указателю посадкой его в исходное положение).</w:t>
      </w:r>
    </w:p>
    <w:p>
      <w:pPr>
        <w:pStyle w:val="BodyTextIndent"/>
        <w:jc w:val="both"/>
        <w:rPr/>
      </w:pPr>
      <w:r>
        <w:rPr/>
        <w:t>1.7. Установить рычаг ЗРБ в среднее рабочее положение “0” и восстановить номинальную частоту вращения ротора ТГ, т.е. 3000 об/мин.</w:t>
      </w:r>
    </w:p>
    <w:p>
      <w:pPr>
        <w:pStyle w:val="BodyTextIndent"/>
        <w:jc w:val="both"/>
        <w:rPr/>
      </w:pPr>
      <w:r>
        <w:rPr/>
      </w:r>
    </w:p>
    <w:p>
      <w:pPr>
        <w:pStyle w:val="BodyTextIndent"/>
        <w:numPr>
          <w:ilvl w:val="0"/>
          <w:numId w:val="3"/>
        </w:numPr>
        <w:tabs>
          <w:tab w:val="clear" w:pos="708"/>
          <w:tab w:val="left" w:pos="0" w:leader="none"/>
        </w:tabs>
        <w:ind w:firstLine="851" w:left="0" w:right="0"/>
        <w:rPr>
          <w:b/>
        </w:rPr>
      </w:pPr>
      <w:r>
        <w:rPr>
          <w:b/>
        </w:rPr>
        <w:t>ИСПЫТАНИЕ НА РАЗГОН</w:t>
      </w:r>
    </w:p>
    <w:p>
      <w:pPr>
        <w:pStyle w:val="BodyTextIndent"/>
        <w:jc w:val="both"/>
        <w:rPr/>
      </w:pPr>
      <w:r>
        <w:rPr/>
        <w:t>Руководителю испытания с записью в журнале произвести инструктаж персоналу, участвующему в проведении испытания и его расстановку:</w:t>
      </w:r>
    </w:p>
    <w:p>
      <w:pPr>
        <w:pStyle w:val="BodyTextIndent"/>
        <w:jc w:val="both"/>
        <w:rPr/>
      </w:pPr>
      <w:r>
        <w:rPr/>
        <w:t>- руководитель испытания находится у механизма управления турбиной;</w:t>
      </w:r>
    </w:p>
    <w:p>
      <w:pPr>
        <w:pStyle w:val="BodyTextIndent"/>
        <w:jc w:val="both"/>
        <w:rPr/>
      </w:pPr>
      <w:r>
        <w:rPr/>
        <w:t>- один человек у клапана аварийного срыва вакуума;</w:t>
      </w:r>
    </w:p>
    <w:p>
      <w:pPr>
        <w:pStyle w:val="BodyTextIndent"/>
        <w:jc w:val="both"/>
        <w:rPr/>
      </w:pPr>
      <w:r>
        <w:rPr/>
        <w:t>- по одному человеку у каждого блока клапана СД;</w:t>
      </w:r>
    </w:p>
    <w:p>
      <w:pPr>
        <w:pStyle w:val="BodyTextIndent"/>
        <w:jc w:val="both"/>
        <w:rPr/>
      </w:pPr>
      <w:r>
        <w:rPr/>
        <w:t>- машинист блока у ключей управления байпасами ГПЗ, БРОУ-1,2, продувки п.п. и маслонасосами турбины;</w:t>
      </w:r>
    </w:p>
    <w:p>
      <w:pPr>
        <w:pStyle w:val="BodyTextIndent"/>
        <w:jc w:val="both"/>
        <w:rPr/>
      </w:pPr>
      <w:r>
        <w:rPr/>
        <w:t>- один человек на связи местного щита с БЩУ;</w:t>
      </w:r>
    </w:p>
    <w:p>
      <w:pPr>
        <w:pStyle w:val="BodyTextIndent"/>
        <w:jc w:val="both"/>
        <w:rPr/>
      </w:pPr>
      <w:r>
        <w:rPr/>
        <w:t>- дежурный персонал электроцеха и ЦТКА находится на БЩУ;</w:t>
      </w:r>
    </w:p>
    <w:p>
      <w:pPr>
        <w:pStyle w:val="BodyTextIndent"/>
        <w:jc w:val="both"/>
        <w:rPr/>
      </w:pPr>
      <w:r>
        <w:rPr/>
        <w:t>- удаляется с местного щита управления турбиной персонал, не участвующий в испытаниях, вывешиваются плаката: “Опасная зона”, “Проход закрыт”.</w:t>
      </w:r>
    </w:p>
    <w:p>
      <w:pPr>
        <w:pStyle w:val="BodyTextIndent"/>
        <w:jc w:val="both"/>
        <w:rPr/>
      </w:pPr>
      <w:r>
        <w:rPr/>
        <w:t>При повышении частоты вращения роторов ТГ свыше 3360 об/мин., прекратить доступ пара в турбину воздействием на механизм управления турбиной на убавить, подать импульс на защитные устройства дистанционно или по месту для закрытия стопорных и регулирующих клапанов ТГ, сорвать вакуум в конденсаторе и закрыть запорную арматуру перед турбиной. Отключить котел, открыть продувку пароперегревателя и закрыть БРОУ-2, остановить пусковой насос и пустить резервный насос.</w:t>
      </w:r>
    </w:p>
    <w:p>
      <w:pPr>
        <w:pStyle w:val="BodyTextIndent"/>
        <w:jc w:val="both"/>
        <w:rPr/>
      </w:pPr>
      <w:r>
        <w:rPr>
          <w:b/>
          <w:i/>
        </w:rPr>
        <w:t>ПРИМЕЧАНИЕ:</w:t>
      </w:r>
      <w:r>
        <w:rPr/>
        <w:t xml:space="preserve"> Персонал должен действовать самостоятельно, без команды руководителя испытаний, а также в случаях при:</w:t>
      </w:r>
    </w:p>
    <w:p>
      <w:pPr>
        <w:pStyle w:val="BodyTextIndent"/>
        <w:jc w:val="both"/>
        <w:rPr/>
      </w:pPr>
      <w:r>
        <w:rPr/>
        <w:t>- возрастания вибрации турбоагрегата и трубопроводов;</w:t>
      </w:r>
    </w:p>
    <w:p>
      <w:pPr>
        <w:pStyle w:val="BodyTextIndent"/>
        <w:jc w:val="both"/>
        <w:rPr/>
      </w:pPr>
      <w:r>
        <w:rPr/>
        <w:t>- появления посторонних шумов в турбине и генераторе;</w:t>
      </w:r>
    </w:p>
    <w:p>
      <w:pPr>
        <w:pStyle w:val="BodyTextIndent"/>
        <w:jc w:val="both"/>
        <w:rPr/>
      </w:pPr>
      <w:r>
        <w:rPr/>
        <w:t>- нарушения плотности маслопроводов;</w:t>
      </w:r>
    </w:p>
    <w:p>
      <w:pPr>
        <w:pStyle w:val="BodyTextIndent"/>
        <w:jc w:val="both"/>
        <w:rPr/>
      </w:pPr>
      <w:r>
        <w:rPr/>
        <w:t>- воспламенения масла на турбоагрегате;</w:t>
      </w:r>
    </w:p>
    <w:p>
      <w:pPr>
        <w:pStyle w:val="BodyTextIndent"/>
        <w:jc w:val="both"/>
        <w:rPr/>
      </w:pPr>
      <w:r>
        <w:rPr/>
        <w:t>- при повышении частоты вращения более 3360 об/мин.</w:t>
      </w:r>
    </w:p>
    <w:p>
      <w:pPr>
        <w:pStyle w:val="BodyTextIndent"/>
        <w:jc w:val="both"/>
        <w:rPr/>
      </w:pPr>
      <w:r>
        <w:rPr/>
        <w:t>2.1. Установить следующие параметры:</w:t>
      </w:r>
    </w:p>
    <w:p>
      <w:pPr>
        <w:pStyle w:val="BodyTextIndent"/>
        <w:jc w:val="both"/>
        <w:rPr/>
      </w:pPr>
      <w:r>
        <w:rPr/>
        <w:t>- давление острого пара  25…30 кгс/см</w:t>
      </w:r>
      <w:r>
        <w:rPr>
          <w:vertAlign w:val="superscript"/>
        </w:rPr>
        <w:t>2</w:t>
      </w:r>
      <w:r>
        <w:rPr/>
        <w:t>;</w:t>
      </w:r>
    </w:p>
    <w:p>
      <w:pPr>
        <w:pStyle w:val="BodyTextIndent"/>
        <w:jc w:val="both"/>
        <w:rPr/>
      </w:pPr>
      <w:r>
        <w:rPr/>
        <w:t xml:space="preserve">- температуру острого пара на 100 </w:t>
      </w:r>
      <w:r>
        <w:rPr>
          <w:vertAlign w:val="superscript"/>
        </w:rPr>
        <w:t>0</w:t>
      </w:r>
      <w:r>
        <w:rPr/>
        <w:t xml:space="preserve">С выше температуры </w:t>
      </w:r>
      <w:r>
        <w:rPr>
          <w:lang w:val="en-US"/>
        </w:rPr>
        <w:t>I</w:t>
      </w:r>
      <w:r>
        <w:rPr/>
        <w:t>-го пояса металла ЦВД ТГ;</w:t>
      </w:r>
    </w:p>
    <w:p>
      <w:pPr>
        <w:pStyle w:val="BodyTextIndent"/>
        <w:jc w:val="both"/>
        <w:rPr/>
      </w:pPr>
      <w:r>
        <w:rPr/>
        <w:t xml:space="preserve">- температуру пара ГПП перед турбиной на 60 - 70 </w:t>
      </w:r>
      <w:r>
        <w:rPr>
          <w:vertAlign w:val="superscript"/>
        </w:rPr>
        <w:t>0</w:t>
      </w:r>
      <w:r>
        <w:rPr/>
        <w:t xml:space="preserve">С выше температуры </w:t>
      </w:r>
      <w:r>
        <w:rPr>
          <w:lang w:val="en-US"/>
        </w:rPr>
        <w:t>III</w:t>
      </w:r>
      <w:r>
        <w:rPr/>
        <w:t>-го пояса металла ЦВД ТГ;</w:t>
      </w:r>
    </w:p>
    <w:p>
      <w:pPr>
        <w:pStyle w:val="BodyTextIndent"/>
        <w:jc w:val="both"/>
        <w:rPr/>
      </w:pPr>
      <w:r>
        <w:rPr/>
        <w:t>- вакуум в конденсаторе максимально возможный, поддающийся регулировке;</w:t>
      </w:r>
    </w:p>
    <w:p>
      <w:pPr>
        <w:pStyle w:val="BodyTextIndent"/>
        <w:jc w:val="both"/>
        <w:rPr/>
      </w:pPr>
      <w:r>
        <w:rPr/>
        <w:t>- в работе БРОУ-1 открыт на 50 %, БРОУ-2 А,Б открыт на 100 %;</w:t>
      </w:r>
    </w:p>
    <w:p>
      <w:pPr>
        <w:pStyle w:val="BodyTextIndent"/>
        <w:jc w:val="both"/>
        <w:rPr/>
      </w:pPr>
      <w:r>
        <w:rPr/>
        <w:t>- частота вращения роторов ТГ  3000 об/мин;</w:t>
      </w:r>
    </w:p>
    <w:p>
      <w:pPr>
        <w:pStyle w:val="BodyTextIndent"/>
        <w:jc w:val="both"/>
        <w:rPr/>
      </w:pPr>
      <w:r>
        <w:rPr/>
        <w:t>- рычаг ЗРБ находится в среднем положении «0»;</w:t>
      </w:r>
    </w:p>
    <w:p>
      <w:pPr>
        <w:pStyle w:val="BodyTextIndent"/>
        <w:jc w:val="both"/>
        <w:rPr/>
      </w:pPr>
      <w:r>
        <w:rPr/>
        <w:t>2.2. Воздействием на механизм управления турбиной, повысить частоту вращения до 3200 об/мин. Зафиксировать положение регулирующих клапанов турбины и давление пара перед регулирующими клапанами ВД ТГ установить 10-15 кгс/см</w:t>
      </w:r>
      <w:r>
        <w:rPr>
          <w:vertAlign w:val="superscript"/>
        </w:rPr>
        <w:t>2</w:t>
      </w:r>
      <w:r>
        <w:rPr/>
        <w:t>.</w:t>
      </w:r>
    </w:p>
    <w:p>
      <w:pPr>
        <w:pStyle w:val="BodyTextIndent"/>
        <w:jc w:val="both"/>
        <w:rPr>
          <w:sz w:val="28"/>
        </w:rPr>
      </w:pPr>
      <w:r>
        <w:rPr/>
        <w:t>2.3. Плавно повышая частоту вращения, сначала механизмом управления турбиной до 3200 об/мин., а затем разгонным устройством до срабатывания одного из двух колец, фиксируется по тахометру частоты вращения, при которой сработало кольцо, обороты не более 3360 об/мин.  обратной посадки кольца.</w:t>
      </w:r>
    </w:p>
    <w:p>
      <w:pPr>
        <w:pStyle w:val="BodyTextIndent"/>
        <w:jc w:val="both"/>
        <w:rPr/>
      </w:pPr>
      <w:r>
        <w:rPr/>
        <w:t>2.4. Частоту вращения поднять до 3000 об/мин.</w:t>
      </w:r>
    </w:p>
    <w:p>
      <w:pPr>
        <w:pStyle w:val="BodyTextIndent"/>
        <w:jc w:val="both"/>
        <w:rPr/>
      </w:pPr>
      <w:r>
        <w:rPr/>
        <w:t>2.5. Рычаг ЗРБ выводится из-под проверенного кольца и повторяются операции по п.2.3 на другом кольце.</w:t>
      </w:r>
    </w:p>
    <w:p>
      <w:pPr>
        <w:pStyle w:val="BodyTextIndent"/>
        <w:jc w:val="both"/>
        <w:rPr/>
      </w:pPr>
      <w:r>
        <w:rPr/>
        <w:t>2.6. Настроить кольца регулятора безопасности на срабатывание при 3300-3360 об/мин.</w:t>
      </w:r>
    </w:p>
    <w:p>
      <w:pPr>
        <w:pStyle w:val="BodyTextIndent"/>
        <w:jc w:val="both"/>
        <w:rPr/>
      </w:pPr>
      <w:r>
        <w:rPr/>
        <w:t>2.7. Результаты настройки регулятора безопасности должны быть зафиксированы в оперативном журнале начальника смены КТЦ-1.</w:t>
      </w:r>
    </w:p>
    <w:p>
      <w:pPr>
        <w:pStyle w:val="BodyTextIndent"/>
        <w:jc w:val="both"/>
        <w:rPr/>
      </w:pPr>
      <w:r>
        <w:rPr/>
        <w:t>3. Руководство испытанием по данной программе осуществляет начальник КТЦ-1 или его заместитель.</w:t>
      </w:r>
    </w:p>
    <w:p>
      <w:pPr>
        <w:pStyle w:val="BodyTextIndent"/>
        <w:spacing w:lineRule="auto" w:line="360"/>
        <w:ind w:hanging="0" w:right="0"/>
        <w:rPr/>
      </w:pPr>
      <w:r>
        <w:rPr/>
      </w:r>
    </w:p>
    <w:p>
      <w:pPr>
        <w:pStyle w:val="BodyTextIndent"/>
        <w:spacing w:lineRule="auto" w:line="360"/>
        <w:ind w:hanging="0" w:right="0"/>
        <w:rPr/>
      </w:pPr>
      <w:r>
        <w:rPr/>
      </w:r>
    </w:p>
    <w:p>
      <w:pPr>
        <w:pStyle w:val="BodyTextIndent"/>
        <w:spacing w:lineRule="auto" w:line="360"/>
        <w:ind w:hanging="0" w:right="0"/>
        <w:rPr>
          <w:szCs w:val="24"/>
          <w:lang w:val="en-US" w:eastAsia="en-US"/>
        </w:rPr>
      </w:pPr>
      <w:r>
        <w:rPr>
          <w:szCs w:val="24"/>
          <w:lang w:val="en-US" w:eastAsia="en-US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3192145</wp:posOffset>
            </wp:positionH>
            <wp:positionV relativeFrom="paragraph">
              <wp:posOffset>61595</wp:posOffset>
            </wp:positionV>
            <wp:extent cx="1340485" cy="53149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4942" t="30613" r="32397" b="6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85" cy="5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Indent"/>
        <w:spacing w:lineRule="auto" w:line="600"/>
        <w:ind w:hanging="0" w:right="0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3989070</wp:posOffset>
            </wp:positionH>
            <wp:positionV relativeFrom="paragraph">
              <wp:posOffset>211455</wp:posOffset>
            </wp:positionV>
            <wp:extent cx="756920" cy="575945"/>
            <wp:effectExtent l="0" t="0" r="0" b="0"/>
            <wp:wrapNone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324" t="71751" r="6333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>Зам тех. директора по ТМО                                                                        Б.Р. Исмоилов</w:t>
      </w:r>
    </w:p>
    <w:p>
      <w:pPr>
        <w:pStyle w:val="BodyText"/>
        <w:spacing w:lineRule="auto" w:line="600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3887470</wp:posOffset>
            </wp:positionH>
            <wp:positionV relativeFrom="paragraph">
              <wp:posOffset>255905</wp:posOffset>
            </wp:positionV>
            <wp:extent cx="858520" cy="533400"/>
            <wp:effectExtent l="0" t="0" r="0" b="0"/>
            <wp:wrapNone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0" t="-49" r="-30" b="-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2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"/>
        <w:spacing w:lineRule="auto" w:line="480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7">
            <wp:simplePos x="0" y="0"/>
            <wp:positionH relativeFrom="column">
              <wp:posOffset>3737610</wp:posOffset>
            </wp:positionH>
            <wp:positionV relativeFrom="paragraph">
              <wp:posOffset>285750</wp:posOffset>
            </wp:positionV>
            <wp:extent cx="1066165" cy="460375"/>
            <wp:effectExtent l="0" t="0" r="0" b="0"/>
            <wp:wrapNone/>
            <wp:docPr id="5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3868" t="62822" r="40480" b="3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46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rPr/>
      </w:pPr>
      <w:r>
        <w:drawing>
          <wp:anchor behindDoc="0" distT="0" distB="0" distL="114935" distR="114935" simplePos="0" locked="0" layoutInCell="1" allowOverlap="1" relativeHeight="6">
            <wp:simplePos x="0" y="0"/>
            <wp:positionH relativeFrom="column">
              <wp:posOffset>3711575</wp:posOffset>
            </wp:positionH>
            <wp:positionV relativeFrom="paragraph">
              <wp:posOffset>353695</wp:posOffset>
            </wp:positionV>
            <wp:extent cx="1034415" cy="309880"/>
            <wp:effectExtent l="0" t="0" r="0" b="0"/>
            <wp:wrapNone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4" t="-18" r="13704" b="67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30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ab/>
        <w:t>Р. К. Байматов</w:t>
      </w:r>
    </w:p>
    <w:p>
      <w:pPr>
        <w:pStyle w:val="BodyText"/>
        <w:spacing w:lineRule="auto" w:line="480"/>
        <w:rPr>
          <w:sz w:val="26"/>
          <w:szCs w:val="26"/>
        </w:rPr>
      </w:pPr>
      <w:r>
        <w:drawing>
          <wp:anchor behindDoc="0" distT="0" distB="0" distL="114935" distR="114935" simplePos="0" locked="0" layoutInCell="1" allowOverlap="1" relativeHeight="5">
            <wp:simplePos x="0" y="0"/>
            <wp:positionH relativeFrom="column">
              <wp:posOffset>3848735</wp:posOffset>
            </wp:positionH>
            <wp:positionV relativeFrom="paragraph">
              <wp:posOffset>207645</wp:posOffset>
            </wp:positionV>
            <wp:extent cx="935990" cy="619760"/>
            <wp:effectExtent l="0" t="0" r="0" b="0"/>
            <wp:wrapNone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2" t="-22" r="17297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" cy="61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ab/>
        <w:t>М. Кенж</w:t>
      </w:r>
      <w:r>
        <w:rPr>
          <w:sz w:val="26"/>
          <w:szCs w:val="26"/>
          <w:lang w:val="uz-Cyrl-UZ"/>
        </w:rPr>
        <w:t>и</w:t>
      </w:r>
      <w:r>
        <w:rPr>
          <w:sz w:val="26"/>
          <w:szCs w:val="26"/>
        </w:rPr>
        <w:t>баев</w:t>
      </w:r>
    </w:p>
    <w:p>
      <w:pPr>
        <w:pStyle w:val="Normal"/>
        <w:spacing w:lineRule="auto" w:line="600"/>
        <w:ind w:hanging="720" w:left="720" w:right="-5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Руководитель работ. уч-ка «УЭТ»                                             </w:t>
        <w:tab/>
        <w:t xml:space="preserve">           А. Мамиров</w:t>
        <w:tab/>
        <w:t xml:space="preserve"> </w:t>
      </w:r>
    </w:p>
    <w:p>
      <w:pPr>
        <w:pStyle w:val="Normal"/>
        <w:spacing w:lineRule="auto" w:line="600"/>
        <w:ind w:hanging="720" w:left="720" w:right="-55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p>
      <w:pPr>
        <w:pStyle w:val="BodyText"/>
        <w:spacing w:lineRule="auto" w:line="480"/>
        <w:rPr>
          <w:sz w:val="24"/>
          <w:szCs w:val="24"/>
        </w:rPr>
      </w:pPr>
      <w:r>
        <w:rPr>
          <w:sz w:val="24"/>
          <w:szCs w:val="24"/>
        </w:rPr>
        <w:t xml:space="preserve">Зам. тех.директора по электрооборудованию                                           </w:t>
        <w:tab/>
        <w:t>А.А. Махмудходжаев</w:t>
      </w:r>
    </w:p>
    <w:p>
      <w:pPr>
        <w:pStyle w:val="Normal"/>
        <w:spacing w:lineRule="auto" w:line="600"/>
        <w:ind w:hanging="720" w:left="720" w:right="-55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sectPr>
      <w:type w:val="nextPage"/>
      <w:pgSz w:w="11906" w:h="16838"/>
      <w:pgMar w:left="1134" w:right="567" w:gutter="0" w:header="0" w:top="567" w:footer="0" w:bottom="5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8"/>
      <w:isLgl/>
      <w:numFmt w:val="decimal"/>
      <w:lvlText w:val="%1.%2."/>
      <w:lvlJc w:val="left"/>
      <w:pPr>
        <w:tabs>
          <w:tab w:val="num" w:pos="1571"/>
        </w:tabs>
        <w:ind w:left="1571" w:hanging="720"/>
      </w:pPr>
    </w:lvl>
    <w:lvl w:ilvl="2">
      <w:start w:val="1"/>
      <w:isLgl/>
      <w:numFmt w:val="decimal"/>
      <w:lvlText w:val="%1.%2.%3."/>
      <w:lvlJc w:val="left"/>
      <w:pPr>
        <w:tabs>
          <w:tab w:val="num" w:pos="1571"/>
        </w:tabs>
        <w:ind w:left="1571" w:hanging="720"/>
      </w:pPr>
    </w:lvl>
    <w:lvl w:ilvl="3">
      <w:start w:val="1"/>
      <w:isLgl/>
      <w:numFmt w:val="decimal"/>
      <w:lvlText w:val="%1.%2.%3.%4."/>
      <w:lvlJc w:val="left"/>
      <w:pPr>
        <w:tabs>
          <w:tab w:val="num" w:pos="1931"/>
        </w:tabs>
        <w:ind w:left="1931" w:hanging="1080"/>
      </w:pPr>
    </w:lvl>
    <w:lvl w:ilvl="4">
      <w:start w:val="1"/>
      <w:isLgl/>
      <w:numFmt w:val="decimal"/>
      <w:lvlText w:val="%1.%2.%3.%4.%5."/>
      <w:lvlJc w:val="left"/>
      <w:pPr>
        <w:tabs>
          <w:tab w:val="num" w:pos="1931"/>
        </w:tabs>
        <w:ind w:left="1931" w:hanging="1080"/>
      </w:pPr>
    </w:lvl>
    <w:lvl w:ilvl="5">
      <w:start w:val="1"/>
      <w:isLgl/>
      <w:numFmt w:val="decimal"/>
      <w:lvlText w:val="%1.%2.%3.%4.%5.%6."/>
      <w:lvlJc w:val="left"/>
      <w:pPr>
        <w:tabs>
          <w:tab w:val="num" w:pos="2291"/>
        </w:tabs>
        <w:ind w:left="2291" w:hanging="1440"/>
      </w:pPr>
    </w:lvl>
    <w:lvl w:ilvl="6">
      <w:start w:val="1"/>
      <w:isLgl/>
      <w:numFmt w:val="decimal"/>
      <w:lvlText w:val="%1.%2.%3.%4.%5.%6.%7."/>
      <w:lvlJc w:val="left"/>
      <w:pPr>
        <w:tabs>
          <w:tab w:val="num" w:pos="2651"/>
        </w:tabs>
        <w:ind w:left="2651" w:hanging="1800"/>
      </w:pPr>
    </w:lvl>
    <w:lvl w:ilvl="7">
      <w:start w:val="1"/>
      <w:isLgl/>
      <w:numFmt w:val="decimal"/>
      <w:lvlText w:val="%1.%2.%3.%4.%5.%6.%7.%8."/>
      <w:lvlJc w:val="left"/>
      <w:pPr>
        <w:tabs>
          <w:tab w:val="num" w:pos="2651"/>
        </w:tabs>
        <w:ind w:left="2651" w:hanging="1800"/>
      </w:pPr>
    </w:lvl>
    <w:lvl w:ilvl="8">
      <w:start w:val="1"/>
      <w:isLgl/>
      <w:numFmt w:val="decimal"/>
      <w:lvlText w:val="%1.%2.%3.%4.%5.%6.%7.%8.%9."/>
      <w:lvlJc w:val="left"/>
      <w:pPr>
        <w:tabs>
          <w:tab w:val="num" w:pos="3011"/>
        </w:tabs>
        <w:ind w:left="3011" w:hanging="21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>
      <w:start w:val="6"/>
      <w:numFmt w:val="decimal"/>
      <w:lvlText w:val="%1.%2."/>
      <w:lvlJc w:val="left"/>
      <w:pPr>
        <w:tabs>
          <w:tab w:val="num" w:pos="965"/>
        </w:tabs>
        <w:ind w:left="965" w:hanging="540"/>
      </w:pPr>
    </w:lvl>
    <w:lvl w:ilvl="2">
      <w:start w:val="3"/>
      <w:numFmt w:val="decimal"/>
      <w:lvlText w:val="%1.%2.%3."/>
      <w:lvlJc w:val="left"/>
      <w:pPr>
        <w:tabs>
          <w:tab w:val="num" w:pos="1570"/>
        </w:tabs>
        <w:ind w:left="1570" w:hanging="720"/>
      </w:pPr>
    </w:lvl>
    <w:lvl w:ilvl="3">
      <w:start w:val="1"/>
      <w:numFmt w:val="decimal"/>
      <w:lvlText w:val="%1.%2.%3.%4."/>
      <w:lvlJc w:val="left"/>
      <w:pPr>
        <w:tabs>
          <w:tab w:val="num" w:pos="1995"/>
        </w:tabs>
        <w:ind w:left="1995" w:hanging="720"/>
      </w:pPr>
    </w:lvl>
    <w:lvl w:ilvl="4">
      <w:start w:val="1"/>
      <w:numFmt w:val="decimal"/>
      <w:lvlText w:val="%1.%2.%3.%4.%5."/>
      <w:lvlJc w:val="left"/>
      <w:pPr>
        <w:tabs>
          <w:tab w:val="num" w:pos="2780"/>
        </w:tabs>
        <w:ind w:left="2780" w:hanging="1080"/>
      </w:pPr>
    </w:lvl>
    <w:lvl w:ilvl="5">
      <w:start w:val="1"/>
      <w:numFmt w:val="decimal"/>
      <w:lvlText w:val="%1.%2.%3.%4.%5.%6."/>
      <w:lvlJc w:val="left"/>
      <w:pPr>
        <w:tabs>
          <w:tab w:val="num" w:pos="3205"/>
        </w:tabs>
        <w:ind w:left="32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990"/>
        </w:tabs>
        <w:ind w:left="399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415"/>
        </w:tabs>
        <w:ind w:left="441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5200"/>
        </w:tabs>
        <w:ind w:left="5200" w:hanging="18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6"/>
    </w:lvlOverride>
    <w:lvlOverride w:ilvl="2">
      <w:startOverride w:val="3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</w:rPr>
  </w:style>
  <w:style w:type="character" w:styleId="Style14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/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wmf"/><Relationship Id="rId8" Type="http://schemas.openxmlformats.org/officeDocument/2006/relationships/image" Target="media/image7.wmf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2020-01-09T07:58:00Z</dcterms:created>
  <dc:creator>Admin</dc:creator>
  <dc:description/>
  <cp:keywords/>
  <dc:language>en-US</dc:language>
  <cp:lastModifiedBy>Людмилла Насибуллина</cp:lastModifiedBy>
  <cp:lastPrinted>2026-03-24T12:22:00Z</cp:lastPrinted>
  <dcterms:modified xsi:type="dcterms:W3CDTF">2026-03-24T07:24:00Z</dcterms:modified>
  <cp:revision>22</cp:revision>
  <dc:subject/>
  <dc:title>УТВЕРЖДАЮ</dc:title>
</cp:coreProperties>
</file>