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lineRule="auto" w:line="276"/>
        <w:ind w:hanging="0" w:left="0"/>
        <w:jc w:val="right"/>
        <w:rPr>
          <w:sz w:val="26"/>
          <w:szCs w:val="26"/>
        </w:rPr>
      </w:pPr>
      <w:r>
        <w:rPr>
          <w:szCs w:val="24"/>
        </w:rPr>
        <w:t xml:space="preserve">                                                                                      </w:t>
      </w:r>
      <w:r>
        <w:rPr>
          <w:sz w:val="26"/>
          <w:szCs w:val="26"/>
        </w:rPr>
        <w:t>УТВЕРЖДАЮ</w:t>
      </w:r>
    </w:p>
    <w:p>
      <w:pPr>
        <w:pStyle w:val="Normal"/>
        <w:spacing w:lineRule="auto" w:line="276"/>
        <w:jc w:val="right"/>
        <w:rPr/>
      </w:pPr>
      <w:r>
        <w:rPr>
          <w:sz w:val="24"/>
        </w:rPr>
        <w:t>ТЕХНИЧЕСКИЙ ДИРЕКТОР</w:t>
      </w:r>
    </w:p>
    <w:p>
      <w:pPr>
        <w:pStyle w:val="Normal"/>
        <w:spacing w:lineRule="auto" w:line="276"/>
        <w:jc w:val="right"/>
        <w:rPr>
          <w:sz w:val="26"/>
          <w:szCs w:val="26"/>
        </w:rPr>
      </w:pPr>
      <w:r>
        <w:rPr>
          <w:sz w:val="26"/>
          <w:szCs w:val="26"/>
        </w:rPr>
        <w:t>АО  « ТАШКЕНТСКАЯ ТЭС»</w:t>
      </w:r>
    </w:p>
    <w:p>
      <w:pPr>
        <w:pStyle w:val="Normal"/>
        <w:jc w:val="right"/>
        <w:rPr>
          <w:sz w:val="26"/>
          <w:szCs w:val="26"/>
          <w:lang w:val="uz-Cyrl-UZ"/>
        </w:rPr>
      </w:pPr>
      <w:r>
        <w:rPr>
          <w:sz w:val="26"/>
          <w:szCs w:val="26"/>
          <w:lang w:val="uz-Cyrl-UZ"/>
        </w:rPr>
        <w:t>В.В. Пак</w:t>
      </w:r>
    </w:p>
    <w:p>
      <w:pPr>
        <w:pStyle w:val="Normal"/>
        <w:jc w:val="right"/>
        <w:rPr>
          <w:sz w:val="24"/>
          <w:szCs w:val="26"/>
          <w:lang w:val="uz-Cyrl-UZ"/>
        </w:rPr>
      </w:pPr>
      <w:r>
        <w:rPr>
          <w:sz w:val="24"/>
          <w:szCs w:val="26"/>
          <w:lang w:val="uz-Cyrl-UZ"/>
        </w:rPr>
      </w:r>
    </w:p>
    <w:p>
      <w:pPr>
        <w:pStyle w:val="Normal"/>
        <w:rPr>
          <w:sz w:val="24"/>
          <w:lang w:val="uz-Cyrl-UZ"/>
        </w:rPr>
      </w:pPr>
      <w:r>
        <w:rPr>
          <w:sz w:val="24"/>
          <w:lang w:val="uz-Cyrl-UZ"/>
        </w:rPr>
      </w:r>
    </w:p>
    <w:p>
      <w:pPr>
        <w:pStyle w:val="Normal"/>
        <w:rPr>
          <w:sz w:val="24"/>
        </w:rPr>
      </w:pPr>
      <w:r>
        <w:rPr>
          <w:sz w:val="24"/>
        </w:rPr>
        <w:t xml:space="preserve">                     </w:t>
      </w:r>
    </w:p>
    <w:p>
      <w:pPr>
        <w:pStyle w:val="Normal"/>
        <w:jc w:val="center"/>
        <w:rPr>
          <w:b/>
          <w:sz w:val="24"/>
        </w:rPr>
      </w:pPr>
      <w:r>
        <w:rPr>
          <w:b/>
          <w:sz w:val="24"/>
        </w:rPr>
        <w:t>Т И П О В А Я  П Р О Г РА М М А</w:t>
      </w:r>
    </w:p>
    <w:p>
      <w:pPr>
        <w:pStyle w:val="Normal"/>
        <w:jc w:val="center"/>
        <w:rPr/>
      </w:pPr>
      <w:r>
        <w:rPr>
          <w:b/>
          <w:sz w:val="24"/>
        </w:rPr>
        <w:t xml:space="preserve">проведения  гидравлического испытания котлоагрегата ТГМ-94  </w:t>
      </w:r>
    </w:p>
    <w:p>
      <w:pPr>
        <w:pStyle w:val="Normal"/>
        <w:jc w:val="center"/>
        <w:rPr>
          <w:b/>
          <w:sz w:val="24"/>
        </w:rPr>
      </w:pPr>
      <w:r>
        <w:rPr>
          <w:b/>
          <w:sz w:val="24"/>
        </w:rPr>
        <w:t>после   ремонта блоков</w:t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BodyText"/>
        <w:rPr/>
      </w:pPr>
      <w:r>
        <w:rPr/>
        <w:t xml:space="preserve">            </w:t>
      </w:r>
      <w:r>
        <w:rPr/>
        <w:t>Гидравлическое испытание производится с целью проверки на плотность поверхности нагрева в котлоагрегата и трубопроводов.</w:t>
      </w:r>
    </w:p>
    <w:p>
      <w:pPr>
        <w:pStyle w:val="BodyText"/>
        <w:rPr/>
      </w:pPr>
      <w:r>
        <w:rPr/>
      </w:r>
    </w:p>
    <w:p>
      <w:pPr>
        <w:pStyle w:val="Normal"/>
        <w:rPr/>
      </w:pPr>
      <w:r>
        <w:rPr>
          <w:b/>
          <w:sz w:val="24"/>
        </w:rPr>
        <w:t>1.</w:t>
      </w:r>
      <w:r>
        <w:rPr>
          <w:sz w:val="24"/>
        </w:rPr>
        <w:t xml:space="preserve"> ПОДГОТОВИТЕЛЬНЫЕ РАБОТЫ</w:t>
      </w:r>
    </w:p>
    <w:p>
      <w:pPr>
        <w:pStyle w:val="Normal"/>
        <w:rPr>
          <w:sz w:val="16"/>
          <w:szCs w:val="16"/>
        </w:rPr>
      </w:pPr>
      <w:r>
        <w:rPr>
          <w:sz w:val="24"/>
        </w:rPr>
        <w:t xml:space="preserve">         </w:t>
      </w:r>
    </w:p>
    <w:p>
      <w:pPr>
        <w:pStyle w:val="Normal"/>
        <w:rPr/>
      </w:pPr>
      <w:r>
        <w:rPr>
          <w:sz w:val="24"/>
        </w:rPr>
        <w:t xml:space="preserve">       </w:t>
      </w:r>
      <w:r>
        <w:rPr>
          <w:sz w:val="24"/>
        </w:rPr>
        <w:t>До заполнения котла под гидравлическое испытание, должны быть закончены следующие работы и проведена поузловая приемка.</w:t>
      </w:r>
    </w:p>
    <w:p>
      <w:pPr>
        <w:pStyle w:val="Normal"/>
        <w:numPr>
          <w:ilvl w:val="1"/>
          <w:numId w:val="3"/>
        </w:numPr>
        <w:jc w:val="both"/>
        <w:rPr>
          <w:sz w:val="24"/>
        </w:rPr>
      </w:pPr>
      <w:r>
        <w:rPr>
          <w:sz w:val="24"/>
        </w:rPr>
        <w:t>Ремонт поверхностей нагрева котла, барабана, главных паропроводов, паропроводов «холодного» и «горячего», промперегрева, питательных трубопроводов, сдана сварочная документация.</w:t>
      </w:r>
    </w:p>
    <w:p>
      <w:pPr>
        <w:pStyle w:val="Normal"/>
        <w:numPr>
          <w:ilvl w:val="1"/>
          <w:numId w:val="2"/>
        </w:numPr>
        <w:jc w:val="both"/>
        <w:rPr>
          <w:sz w:val="24"/>
        </w:rPr>
      </w:pPr>
      <w:r>
        <w:rPr>
          <w:sz w:val="24"/>
        </w:rPr>
        <w:t>Ремонт РНП, Д-6 ата, дренажного бака, дренажных насосов с арматурой.</w:t>
      </w:r>
    </w:p>
    <w:p>
      <w:pPr>
        <w:pStyle w:val="Normal"/>
        <w:numPr>
          <w:ilvl w:val="1"/>
          <w:numId w:val="2"/>
        </w:numPr>
        <w:jc w:val="both"/>
        <w:rPr>
          <w:sz w:val="24"/>
        </w:rPr>
      </w:pPr>
      <w:r>
        <w:rPr>
          <w:sz w:val="24"/>
        </w:rPr>
        <w:t>Ремонт арматуры: всас и напор ПЭН, задвижки ХПП, импульсно-предохранительные устройства ХПП, ГПП и острого пара, БВК, ДК, БРОУ-1,2, запорная и регулирующая арматура узла 1-х; 2-х; и аварийных впрысков, аварийный сброс котла, продувки пароперегревателей, рециркуляции котла, ГПЗ, байпасы ГПЗ, дренажей до ГПЗ, вход и выход ПВД, холодного питания, дренажей высокого давления котла и промперегрева, вентили водоуказательных колонок, импульсных линий, отборов проб, воздушники, фосфатирования, солевая кратность, непрерывная продувка, нижние точки котла. Вся арматура, имеющая электроприводы, должна быть опробована, ИПУ-1А,Б, ИПУ-2 необходимо заклинить.</w:t>
      </w:r>
    </w:p>
    <w:p>
      <w:pPr>
        <w:pStyle w:val="Normal"/>
        <w:numPr>
          <w:ilvl w:val="1"/>
          <w:numId w:val="2"/>
        </w:numPr>
        <w:jc w:val="both"/>
        <w:rPr>
          <w:sz w:val="24"/>
        </w:rPr>
      </w:pPr>
      <w:r>
        <w:rPr>
          <w:sz w:val="24"/>
        </w:rPr>
        <w:t>Сборка отсечных клапанов промперегрева. Клапан необходимо заклинить.</w:t>
      </w:r>
    </w:p>
    <w:p>
      <w:pPr>
        <w:pStyle w:val="Normal"/>
        <w:numPr>
          <w:ilvl w:val="1"/>
          <w:numId w:val="2"/>
        </w:numPr>
        <w:jc w:val="both"/>
        <w:rPr>
          <w:sz w:val="24"/>
        </w:rPr>
      </w:pPr>
      <w:r>
        <w:rPr>
          <w:sz w:val="24"/>
        </w:rPr>
        <w:t>Установка манометров:</w:t>
      </w:r>
    </w:p>
    <w:p>
      <w:pPr>
        <w:pStyle w:val="Normal"/>
        <w:ind w:left="420" w:right="0"/>
        <w:jc w:val="both"/>
        <w:rPr>
          <w:sz w:val="24"/>
        </w:rPr>
      </w:pPr>
      <w:r>
        <w:rPr>
          <w:sz w:val="24"/>
        </w:rPr>
        <w:t>Давление питательной воды на БЩУ – 1 шт.</w:t>
      </w:r>
    </w:p>
    <w:p>
      <w:pPr>
        <w:pStyle w:val="Normal"/>
        <w:ind w:left="420" w:right="0"/>
        <w:jc w:val="both"/>
        <w:rPr/>
      </w:pPr>
      <w:r>
        <w:rPr>
          <w:sz w:val="24"/>
        </w:rPr>
        <w:t>Давление в барабане котла на БЩУ    - 2 шт.</w:t>
      </w:r>
    </w:p>
    <w:p>
      <w:pPr>
        <w:pStyle w:val="Normal"/>
        <w:ind w:left="420" w:right="0"/>
        <w:jc w:val="both"/>
        <w:rPr>
          <w:sz w:val="24"/>
        </w:rPr>
      </w:pPr>
      <w:r>
        <w:rPr>
          <w:sz w:val="24"/>
        </w:rPr>
        <w:t>Давление острого пара до ГПЗ на БЩУ – 1 шт</w:t>
      </w:r>
    </w:p>
    <w:p>
      <w:pPr>
        <w:pStyle w:val="Normal"/>
        <w:ind w:left="420" w:right="0"/>
        <w:jc w:val="both"/>
        <w:rPr>
          <w:sz w:val="24"/>
        </w:rPr>
      </w:pPr>
      <w:r>
        <w:rPr>
          <w:sz w:val="24"/>
        </w:rPr>
        <w:t>Давление питательной воды за СУП   - 1 шт.</w:t>
      </w:r>
    </w:p>
    <w:p>
      <w:pPr>
        <w:pStyle w:val="Normal"/>
        <w:ind w:left="420" w:right="0"/>
        <w:jc w:val="both"/>
        <w:rPr/>
      </w:pPr>
      <w:r>
        <w:rPr>
          <w:sz w:val="24"/>
        </w:rPr>
        <w:t>Давление в горячем промперегреве   -  2 шт.  – БЩУ</w:t>
      </w:r>
    </w:p>
    <w:p>
      <w:pPr>
        <w:pStyle w:val="Normal"/>
        <w:ind w:left="420" w:right="0"/>
        <w:jc w:val="both"/>
        <w:rPr/>
      </w:pPr>
      <w:r>
        <w:rPr>
          <w:sz w:val="24"/>
        </w:rPr>
        <w:t>Давление в холодном промперегреве - 1 шт. -БЩУ</w:t>
      </w:r>
    </w:p>
    <w:p>
      <w:pPr>
        <w:pStyle w:val="Normal"/>
        <w:ind w:left="420" w:right="0"/>
        <w:jc w:val="both"/>
        <w:rPr>
          <w:sz w:val="24"/>
        </w:rPr>
      </w:pPr>
      <w:r>
        <w:rPr>
          <w:sz w:val="24"/>
        </w:rPr>
        <w:t>Установить заглушки:</w:t>
      </w:r>
    </w:p>
    <w:p>
      <w:pPr>
        <w:pStyle w:val="Normal"/>
        <w:numPr>
          <w:ilvl w:val="1"/>
          <w:numId w:val="2"/>
        </w:numPr>
        <w:jc w:val="both"/>
        <w:rPr>
          <w:sz w:val="24"/>
        </w:rPr>
      </w:pPr>
      <w:r>
        <w:rPr>
          <w:sz w:val="24"/>
        </w:rPr>
        <w:t>За ДК БРОУ – 2А,Б заглушка должна соответствовать ГОСТ 34233-73, закрывается вся арматура котла по воде и пару.</w:t>
      </w:r>
    </w:p>
    <w:p>
      <w:pPr>
        <w:pStyle w:val="Normal"/>
        <w:jc w:val="both"/>
        <w:rPr/>
      </w:pPr>
      <w:r>
        <w:rPr>
          <w:sz w:val="24"/>
        </w:rPr>
        <w:t xml:space="preserve">       </w:t>
      </w:r>
      <w:r>
        <w:rPr>
          <w:sz w:val="24"/>
        </w:rPr>
        <w:t>Заполнение котла, промперегрева и трубопроводов производится после разрешения руководства КТЦ-1,2 и НСС, химобессоленной водой (</w:t>
      </w:r>
      <w:r>
        <w:rPr>
          <w:sz w:val="24"/>
          <w:lang w:val="en-US"/>
        </w:rPr>
        <w:t>c</w:t>
      </w:r>
      <w:r>
        <w:rPr>
          <w:sz w:val="24"/>
        </w:rPr>
        <w:t xml:space="preserve"> температурой не менее 5</w:t>
      </w:r>
      <w:r>
        <w:rPr>
          <w:sz w:val="24"/>
          <w:vertAlign w:val="superscript"/>
        </w:rPr>
        <w:t>0</w:t>
      </w:r>
      <w:r>
        <w:rPr>
          <w:sz w:val="24"/>
        </w:rPr>
        <w:t>С, не более 40</w:t>
      </w:r>
      <w:r>
        <w:rPr>
          <w:sz w:val="24"/>
          <w:vertAlign w:val="superscript"/>
        </w:rPr>
        <w:t>0</w:t>
      </w:r>
      <w:r>
        <w:rPr>
          <w:sz w:val="24"/>
        </w:rPr>
        <w:t>С) дренажными насосами по разрешенной местной заявке. Химобессоленная вода подается в дренажный бак котла от коллектора БЗК через всасывающий коллектор ПЭН.</w:t>
      </w:r>
    </w:p>
    <w:p>
      <w:pPr>
        <w:pStyle w:val="Normal"/>
        <w:ind w:firstLine="420" w:right="0"/>
        <w:jc w:val="both"/>
        <w:rPr/>
      </w:pPr>
      <w:r>
        <w:rPr>
          <w:sz w:val="24"/>
        </w:rPr>
        <w:t>По мере заполнения котла - ремонтным персоналом и оперативным персоналом КТЦ-1 совместно проверяются поверхности нагрева котла и арматуры для обнаружения неплотностей. После заполнения котел опрессовывается дренажными насосами на давление на 6-8 ати и при  отсутствии замечаний начинаются гидравлические испытания.</w:t>
      </w:r>
    </w:p>
    <w:p>
      <w:pPr>
        <w:pStyle w:val="Normal"/>
        <w:jc w:val="both"/>
        <w:rPr>
          <w:sz w:val="24"/>
        </w:rPr>
      </w:pPr>
      <w:r>
        <w:rPr>
          <w:sz w:val="24"/>
        </w:rPr>
      </w:r>
    </w:p>
    <w:p>
      <w:pPr>
        <w:pStyle w:val="Normal"/>
        <w:numPr>
          <w:ilvl w:val="0"/>
          <w:numId w:val="2"/>
        </w:numPr>
        <w:rPr>
          <w:sz w:val="24"/>
        </w:rPr>
      </w:pPr>
      <w:r>
        <w:rPr>
          <w:sz w:val="24"/>
        </w:rPr>
        <w:t>ПРОВЕДЕНИЕ ГИДРАВЛИЧЕСКИХ ИСПЫТАНИЙ</w:t>
      </w:r>
    </w:p>
    <w:p>
      <w:pPr>
        <w:pStyle w:val="Normal"/>
        <w:jc w:val="both"/>
        <w:rPr>
          <w:sz w:val="24"/>
        </w:rPr>
      </w:pPr>
      <w:r>
        <w:rPr>
          <w:sz w:val="24"/>
        </w:rPr>
      </w:r>
    </w:p>
    <w:p>
      <w:pPr>
        <w:pStyle w:val="Normal"/>
        <w:numPr>
          <w:ilvl w:val="1"/>
          <w:numId w:val="2"/>
        </w:numPr>
        <w:jc w:val="both"/>
        <w:rPr>
          <w:sz w:val="24"/>
        </w:rPr>
      </w:pPr>
      <w:r>
        <w:rPr>
          <w:sz w:val="24"/>
        </w:rPr>
        <w:t>Ставится под давление перемычка питательной воды от работающего блока.</w:t>
      </w:r>
    </w:p>
    <w:p>
      <w:pPr>
        <w:pStyle w:val="Normal"/>
        <w:numPr>
          <w:ilvl w:val="1"/>
          <w:numId w:val="2"/>
        </w:numPr>
        <w:jc w:val="both"/>
        <w:rPr>
          <w:sz w:val="24"/>
        </w:rPr>
      </w:pPr>
      <w:r>
        <w:rPr>
          <w:sz w:val="24"/>
        </w:rPr>
        <w:t>Давление в котле и промперегреве поднимается (сверх рабочего 1,25) до  34,5 ати с выдержкой в течение пяти минут. (Согласно правилам устройства и безопасной эксплуатации паровых и водогрейных котлов).</w:t>
      </w:r>
    </w:p>
    <w:p>
      <w:pPr>
        <w:pStyle w:val="Normal"/>
        <w:numPr>
          <w:ilvl w:val="1"/>
          <w:numId w:val="2"/>
        </w:numPr>
        <w:jc w:val="both"/>
        <w:rPr>
          <w:sz w:val="24"/>
        </w:rPr>
      </w:pPr>
      <w:r>
        <w:rPr>
          <w:sz w:val="24"/>
        </w:rPr>
        <w:t>Снижается давление до 25 ати и производится осмотр тракта промперегрева.</w:t>
      </w:r>
    </w:p>
    <w:p>
      <w:pPr>
        <w:pStyle w:val="Normal"/>
        <w:numPr>
          <w:ilvl w:val="1"/>
          <w:numId w:val="2"/>
        </w:numPr>
        <w:jc w:val="both"/>
        <w:rPr>
          <w:sz w:val="24"/>
        </w:rPr>
      </w:pPr>
      <w:r>
        <w:rPr>
          <w:sz w:val="24"/>
        </w:rPr>
        <w:t>Закрываются БВК, ДК, БРОУ-1, открываются дренажи и производится опорожнение тракта промперегрева.</w:t>
      </w:r>
    </w:p>
    <w:p>
      <w:pPr>
        <w:pStyle w:val="Normal"/>
        <w:numPr>
          <w:ilvl w:val="1"/>
          <w:numId w:val="2"/>
        </w:numPr>
        <w:jc w:val="both"/>
        <w:rPr>
          <w:sz w:val="24"/>
        </w:rPr>
      </w:pPr>
      <w:r>
        <w:rPr>
          <w:sz w:val="24"/>
        </w:rPr>
        <w:t>Давление в барабане котла поднимается  (сверх рабочего 1,25) до 187,5 ати с выдержкой времени в течение 10 минут. (Согласно правилам устройства и безопасной эксплуатации паровых и водогрейных котлов)</w:t>
      </w:r>
    </w:p>
    <w:p>
      <w:pPr>
        <w:pStyle w:val="Normal"/>
        <w:numPr>
          <w:ilvl w:val="1"/>
          <w:numId w:val="2"/>
        </w:numPr>
        <w:jc w:val="both"/>
        <w:rPr>
          <w:sz w:val="24"/>
        </w:rPr>
      </w:pPr>
      <w:r>
        <w:rPr>
          <w:sz w:val="24"/>
        </w:rPr>
        <w:t>Снижается давление до 130 ати и производится осмотр котла, арматуры и трубопроводов, находящихся под давлением.</w:t>
      </w:r>
    </w:p>
    <w:p>
      <w:pPr>
        <w:pStyle w:val="Normal"/>
        <w:numPr>
          <w:ilvl w:val="1"/>
          <w:numId w:val="2"/>
        </w:numPr>
        <w:jc w:val="both"/>
        <w:rPr>
          <w:sz w:val="24"/>
        </w:rPr>
      </w:pPr>
      <w:r>
        <w:rPr>
          <w:sz w:val="24"/>
        </w:rPr>
        <w:t>Снижается давление до нуля, опорожняется котел и трубопроводы.</w:t>
      </w:r>
    </w:p>
    <w:p>
      <w:pPr>
        <w:pStyle w:val="Normal"/>
        <w:numPr>
          <w:ilvl w:val="1"/>
          <w:numId w:val="2"/>
        </w:numPr>
        <w:jc w:val="both"/>
        <w:rPr>
          <w:sz w:val="24"/>
        </w:rPr>
      </w:pPr>
      <w:r>
        <w:rPr>
          <w:sz w:val="24"/>
        </w:rPr>
        <w:t>Производится восстановление постоянных схем.</w:t>
      </w:r>
    </w:p>
    <w:p>
      <w:pPr>
        <w:pStyle w:val="Normal"/>
        <w:numPr>
          <w:ilvl w:val="1"/>
          <w:numId w:val="2"/>
        </w:numPr>
        <w:jc w:val="both"/>
        <w:rPr>
          <w:sz w:val="24"/>
        </w:rPr>
      </w:pPr>
      <w:r>
        <w:rPr>
          <w:sz w:val="24"/>
        </w:rPr>
        <w:t>Снимается заглушка за ДК БРОУ-2А,Б.</w:t>
      </w:r>
    </w:p>
    <w:p>
      <w:pPr>
        <w:pStyle w:val="Normal"/>
        <w:jc w:val="both"/>
        <w:rPr/>
      </w:pPr>
      <w:r>
        <w:rPr>
          <w:sz w:val="24"/>
        </w:rPr>
        <w:t>2.10 При положительных результатах гидравлического испытания составляется совместный акт.</w:t>
      </w:r>
    </w:p>
    <w:p>
      <w:pPr>
        <w:pStyle w:val="Normal"/>
        <w:jc w:val="both"/>
        <w:rPr>
          <w:sz w:val="24"/>
        </w:rPr>
      </w:pPr>
      <w:r>
        <w:rPr>
          <w:sz w:val="24"/>
        </w:rPr>
      </w:r>
    </w:p>
    <w:p>
      <w:pPr>
        <w:pStyle w:val="2"/>
        <w:numPr>
          <w:ilvl w:val="0"/>
          <w:numId w:val="2"/>
        </w:numPr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  <w:t>ОРГАНИЗАЦИОННЫЕ МЕРОПРИЯТИЯ, ОБЕСПЕЧИВАЮЩИЕ БЕЗОПАСНОСТЬ РАБОТ.</w:t>
      </w:r>
    </w:p>
    <w:p>
      <w:pPr>
        <w:pStyle w:val="2"/>
        <w:spacing w:lineRule="auto" w:line="240" w:before="0" w:after="0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BodyText"/>
        <w:numPr>
          <w:ilvl w:val="1"/>
          <w:numId w:val="2"/>
        </w:numPr>
        <w:jc w:val="both"/>
        <w:rPr/>
      </w:pPr>
      <w:r>
        <w:rPr/>
        <w:t xml:space="preserve">Перед постановкой под давление перемычки питательной воды прекращаются все работы и выводятся ремонтные бригады: с котла, из района питательных трубопроводов, СУП, паропроводов острого пара, холодного и горячего промперегрева. </w:t>
      </w:r>
    </w:p>
    <w:p>
      <w:pPr>
        <w:pStyle w:val="BodyText"/>
        <w:numPr>
          <w:ilvl w:val="1"/>
          <w:numId w:val="2"/>
        </w:numPr>
        <w:jc w:val="both"/>
        <w:rPr/>
      </w:pPr>
      <w:r>
        <w:rPr/>
        <w:t>Сдаются промежуточные наряды на работы в указанных местах.</w:t>
      </w:r>
    </w:p>
    <w:p>
      <w:pPr>
        <w:pStyle w:val="BodyText"/>
        <w:numPr>
          <w:ilvl w:val="1"/>
          <w:numId w:val="2"/>
        </w:numPr>
        <w:jc w:val="both"/>
        <w:rPr/>
      </w:pPr>
      <w:r>
        <w:rPr/>
        <w:t>Производство работ на остальных участках котла разрешается. Работающие бригады должны быть предупреждены руководителем ремонта о начале гидравлического испытания и недопустимости нахождения персонала в перечисленных выше местах.</w:t>
      </w:r>
    </w:p>
    <w:p>
      <w:pPr>
        <w:pStyle w:val="BodyText"/>
        <w:numPr>
          <w:ilvl w:val="1"/>
          <w:numId w:val="2"/>
        </w:numPr>
        <w:jc w:val="both"/>
        <w:rPr/>
      </w:pPr>
      <w:r>
        <w:rPr/>
        <w:t>Гидравлическое испытание производится под непосредственным руководством ответственного руководителя ремонта блока и начальника КТЦ-1,2 или его заместителя.</w:t>
      </w:r>
    </w:p>
    <w:p>
      <w:pPr>
        <w:pStyle w:val="BodyText"/>
        <w:numPr>
          <w:ilvl w:val="1"/>
          <w:numId w:val="2"/>
        </w:numPr>
        <w:jc w:val="both"/>
        <w:rPr/>
      </w:pPr>
      <w:r>
        <w:rPr/>
        <w:t>На все время заполнения котла и гидравлического испытания котла выделяется дежурная бригада во главе с мастером. Список бригады передается руководству КТЦ-1,2.</w:t>
      </w:r>
    </w:p>
    <w:p>
      <w:pPr>
        <w:pStyle w:val="BodyText"/>
        <w:numPr>
          <w:ilvl w:val="1"/>
          <w:numId w:val="2"/>
        </w:numPr>
        <w:jc w:val="both"/>
        <w:rPr/>
      </w:pPr>
      <w:r>
        <w:rPr/>
        <w:t>Члены дежурной бригады должны быть проинструктированы ответственными руководителями ремонтных организаций и КТЦ-1,2 о соблюдении ПТБ при производстве гидравлического испытания, с записью в журнале инструктажей.</w:t>
      </w:r>
    </w:p>
    <w:p>
      <w:pPr>
        <w:pStyle w:val="BodyText"/>
        <w:numPr>
          <w:ilvl w:val="1"/>
          <w:numId w:val="2"/>
        </w:numPr>
        <w:jc w:val="both"/>
        <w:rPr/>
      </w:pPr>
      <w:r>
        <w:rPr/>
        <w:t>Все переключения в тепловых и электрических схемах производится оперативным персоналом КТЦ-1,2 и электроцеха согласно поданным заявкам.</w:t>
      </w:r>
    </w:p>
    <w:p>
      <w:pPr>
        <w:pStyle w:val="BodyText"/>
        <w:numPr>
          <w:ilvl w:val="1"/>
          <w:numId w:val="2"/>
        </w:numPr>
        <w:jc w:val="both"/>
        <w:rPr/>
      </w:pPr>
      <w:r>
        <w:rPr/>
        <w:t>Ответственным за соблюдение ПТЭ, ПТБ является начальник КТЦ-1,2 и руководитель ремонта.</w:t>
      </w:r>
    </w:p>
    <w:p>
      <w:pPr>
        <w:pStyle w:val="BodyText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spacing w:lineRule="auto" w:line="480"/>
        <w:jc w:val="left"/>
        <w:rPr/>
      </w:pPr>
      <w:r>
        <w:rPr>
          <w:sz w:val="26"/>
          <w:szCs w:val="26"/>
        </w:rPr>
        <w:t xml:space="preserve">Зам. тех.директора по тепломеханической части </w:t>
        <w:tab/>
        <w:tab/>
        <w:tab/>
        <w:tab/>
        <w:t xml:space="preserve">Б.Р. Исмоилов                                              </w:t>
      </w:r>
    </w:p>
    <w:p>
      <w:pPr>
        <w:pStyle w:val="BodyText"/>
        <w:spacing w:lineRule="auto" w:line="480"/>
        <w:jc w:val="left"/>
        <w:rPr/>
      </w:pPr>
      <w:r>
        <w:rPr>
          <w:sz w:val="26"/>
          <w:szCs w:val="26"/>
        </w:rPr>
        <w:t xml:space="preserve">Начальник  СНТБ                                 </w:t>
        <w:tab/>
        <w:tab/>
        <w:tab/>
        <w:tab/>
        <w:tab/>
        <w:tab/>
        <w:t>Б.Б. Нурдинов</w:t>
      </w:r>
    </w:p>
    <w:p>
      <w:pPr>
        <w:pStyle w:val="BodyText"/>
        <w:spacing w:lineRule="auto" w:line="48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Ведущий  инспектор по ОТ и ТБ                                                    </w:t>
        <w:tab/>
        <w:tab/>
        <w:t>Ф.М. Мирзахидова</w:t>
      </w:r>
    </w:p>
    <w:p>
      <w:pPr>
        <w:pStyle w:val="BodyText"/>
        <w:spacing w:lineRule="auto" w:line="480"/>
        <w:jc w:val="left"/>
        <w:rPr>
          <w:sz w:val="26"/>
          <w:szCs w:val="26"/>
        </w:rPr>
      </w:pPr>
      <w:r>
        <w:rPr>
          <w:sz w:val="26"/>
          <w:szCs w:val="26"/>
        </w:rPr>
        <w:t>Ведущий инспектор по котлонадзору</w:t>
        <w:tab/>
        <w:tab/>
        <w:tab/>
        <w:tab/>
        <w:tab/>
        <w:tab/>
        <w:t>Х.Ф. Абдувалиев</w:t>
      </w:r>
    </w:p>
    <w:p>
      <w:pPr>
        <w:pStyle w:val="BodyText"/>
        <w:spacing w:lineRule="auto" w:line="480"/>
        <w:jc w:val="left"/>
        <w:rPr>
          <w:sz w:val="26"/>
          <w:szCs w:val="26"/>
          <w:lang w:val="uz-Cyrl-UZ"/>
        </w:rPr>
      </w:pPr>
      <w:r>
        <w:rPr>
          <w:sz w:val="26"/>
          <w:szCs w:val="26"/>
        </w:rPr>
        <w:t xml:space="preserve">Начальник КТЦ-1                                                                           </w:t>
        <w:tab/>
        <w:tab/>
        <w:t>У.Л. Мажлимов</w:t>
      </w:r>
    </w:p>
    <w:p>
      <w:pPr>
        <w:pStyle w:val="BodyText"/>
        <w:spacing w:lineRule="auto" w:line="480"/>
        <w:jc w:val="left"/>
        <w:rPr>
          <w:sz w:val="26"/>
          <w:szCs w:val="26"/>
          <w:lang w:val="uz-Cyrl-UZ"/>
        </w:rPr>
      </w:pPr>
      <w:r>
        <w:rPr>
          <w:sz w:val="26"/>
          <w:szCs w:val="26"/>
        </w:rPr>
        <w:t xml:space="preserve">Начальник КТЦ-2                                                                           </w:t>
        <w:tab/>
        <w:tab/>
        <w:t>М.М. Махкамов</w:t>
      </w:r>
    </w:p>
    <w:p>
      <w:pPr>
        <w:pStyle w:val="BodyText"/>
        <w:spacing w:lineRule="auto" w:line="480"/>
        <w:jc w:val="left"/>
        <w:rPr/>
      </w:pPr>
      <w:r>
        <w:rPr>
          <w:sz w:val="26"/>
          <w:szCs w:val="26"/>
        </w:rPr>
        <w:t xml:space="preserve">Начальник ЦТКА                                                                           </w:t>
        <w:tab/>
        <w:tab/>
        <w:t>Р. К. Байматов</w:t>
      </w:r>
    </w:p>
    <w:p>
      <w:pPr>
        <w:pStyle w:val="BodyText"/>
        <w:spacing w:lineRule="auto" w:line="48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Начальник Эл.цеха                                                                         </w:t>
        <w:tab/>
        <w:tab/>
        <w:t>М.Д. Кенж</w:t>
      </w:r>
      <w:r>
        <w:rPr>
          <w:sz w:val="26"/>
          <w:szCs w:val="26"/>
          <w:lang w:val="uz-Cyrl-UZ"/>
        </w:rPr>
        <w:t>и</w:t>
      </w:r>
      <w:r>
        <w:rPr>
          <w:sz w:val="26"/>
          <w:szCs w:val="26"/>
        </w:rPr>
        <w:t>баев</w:t>
      </w:r>
    </w:p>
    <w:p>
      <w:pPr>
        <w:pStyle w:val="BodyText"/>
        <w:spacing w:lineRule="auto" w:line="48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Начальник лаб. металлов                                                                </w:t>
        <w:tab/>
        <w:tab/>
        <w:t>Л.У. Эшонкулов</w:t>
      </w:r>
    </w:p>
    <w:p>
      <w:pPr>
        <w:pStyle w:val="BodyText"/>
        <w:spacing w:lineRule="auto" w:line="48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Начальник ЦЦР                                                                             </w:t>
        <w:tab/>
        <w:tab/>
        <w:t>Т.А. Валиев</w:t>
      </w:r>
    </w:p>
    <w:p>
      <w:pPr>
        <w:pStyle w:val="BodyText"/>
        <w:spacing w:lineRule="auto" w:line="480"/>
        <w:jc w:val="left"/>
        <w:rPr>
          <w:color w:val="FF0000"/>
          <w:sz w:val="26"/>
          <w:szCs w:val="26"/>
        </w:rPr>
      </w:pPr>
      <w:r>
        <w:rPr>
          <w:color w:val="FF0000"/>
          <w:sz w:val="26"/>
          <w:szCs w:val="26"/>
        </w:rPr>
      </w:r>
    </w:p>
    <w:p>
      <w:pPr>
        <w:pStyle w:val="BodyText"/>
        <w:spacing w:lineRule="auto" w:line="480"/>
        <w:jc w:val="left"/>
        <w:rPr>
          <w:color w:val="FF0000"/>
          <w:sz w:val="26"/>
          <w:szCs w:val="26"/>
        </w:rPr>
      </w:pPr>
      <w:r>
        <w:rPr>
          <w:color w:val="FF0000"/>
          <w:sz w:val="26"/>
          <w:szCs w:val="26"/>
        </w:rPr>
      </w:r>
    </w:p>
    <w:p>
      <w:pPr>
        <w:pStyle w:val="BodyText"/>
        <w:spacing w:lineRule="auto" w:line="480"/>
        <w:jc w:val="left"/>
        <w:rPr>
          <w:color w:val="FF0000"/>
          <w:sz w:val="26"/>
          <w:szCs w:val="26"/>
        </w:rPr>
      </w:pPr>
      <w:r>
        <w:rPr>
          <w:color w:val="FF0000"/>
          <w:sz w:val="26"/>
          <w:szCs w:val="26"/>
        </w:rPr>
        <w:t>Руководитель работ уч-ка «УЭТ»                                                                Ш.М. Турсунбаев</w:t>
      </w:r>
    </w:p>
    <w:p>
      <w:pPr>
        <w:pStyle w:val="BodyText"/>
        <w:spacing w:lineRule="auto" w:line="480"/>
        <w:jc w:val="left"/>
        <w:rPr/>
      </w:pPr>
      <w:r>
        <w:rPr>
          <w:sz w:val="26"/>
          <w:szCs w:val="26"/>
        </w:rPr>
        <w:t xml:space="preserve">Зам. тех.директора по электрооборудованию </w:t>
        <w:tab/>
        <w:tab/>
        <w:tab/>
        <w:tab/>
        <w:t xml:space="preserve">А.А. Махмудходжаев                                              </w:t>
      </w:r>
    </w:p>
    <w:p>
      <w:pPr>
        <w:pStyle w:val="BodyText"/>
        <w:spacing w:lineRule="auto" w:line="480"/>
        <w:jc w:val="left"/>
        <w:rPr>
          <w:color w:val="FF0000"/>
          <w:sz w:val="26"/>
          <w:szCs w:val="26"/>
        </w:rPr>
      </w:pPr>
      <w:r>
        <w:rPr>
          <w:color w:val="FF0000"/>
          <w:sz w:val="26"/>
          <w:szCs w:val="26"/>
        </w:rPr>
      </w:r>
    </w:p>
    <w:sectPr>
      <w:type w:val="nextPage"/>
      <w:pgSz w:w="11906" w:h="16838"/>
      <w:pgMar w:left="1134" w:right="567" w:gutter="0" w:header="0" w:top="567" w:footer="0" w:bottom="28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cc"/>
    <w:family w:val="roman"/>
    <w:pitch w:val="variable"/>
  </w:font>
  <w:font w:name="Segoe UI">
    <w:charset w:val="cc"/>
    <w:family w:val="swiss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>
      <w:start w:val="1"/>
      <w:numFmt w:val="decimal"/>
      <w:lvlText w:val="%1.%2."/>
      <w:lvlJc w:val="left"/>
      <w:pPr>
        <w:tabs>
          <w:tab w:val="num" w:pos="420"/>
        </w:tabs>
        <w:ind w:left="420" w:hanging="420"/>
      </w:p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</w:lvl>
  </w:abstractNum>
  <w:num w:numId="1">
    <w:abstractNumId w:val="1"/>
  </w:num>
  <w:num w:numId="2">
    <w:abstractNumId w:val="2"/>
  </w:num>
  <w:num w:numId="3">
    <w:abstractNumId w:val="2"/>
    <w:lvlOverride w:ilvl="0">
      <w:startOverride w:val="1"/>
    </w:lvlOverride>
    <w:lvlOverride w:ilvl="1">
      <w:startOverride w:val="1"/>
    </w:lvlOverride>
  </w:num>
</w:numbering>
</file>

<file path=word/settings.xml><?xml version="1.0" encoding="utf-8"?>
<w:settings xmlns:w="http://schemas.openxmlformats.org/wordprocessingml/2006/main">
  <w:zoom w:percent="91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ru-RU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sz w:val="24"/>
    </w:rPr>
  </w:style>
  <w:style w:type="character" w:styleId="Style13">
    <w:name w:val="Основной шрифт абзаца"/>
    <w:qFormat/>
    <w:rPr/>
  </w:style>
  <w:style w:type="character" w:styleId="Style14">
    <w:name w:val="Текст выноски Знак"/>
    <w:qFormat/>
    <w:rPr>
      <w:rFonts w:ascii="Segoe UI" w:hAnsi="Segoe UI" w:cs="Segoe UI"/>
      <w:sz w:val="18"/>
      <w:szCs w:val="18"/>
    </w:rPr>
  </w:style>
  <w:style w:type="character" w:styleId="Style15">
    <w:name w:val="Основной текст Знак"/>
    <w:qFormat/>
    <w:rPr>
      <w:sz w:val="24"/>
    </w:rPr>
  </w:style>
  <w:style w:type="character" w:styleId="1">
    <w:name w:val="Заголовок 1 Знак"/>
    <w:qFormat/>
    <w:rPr>
      <w:sz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jc w:val="center"/>
    </w:pPr>
    <w:rPr>
      <w:sz w:val="24"/>
    </w:rPr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2">
    <w:name w:val="Основной текст 2"/>
    <w:basedOn w:val="Normal"/>
    <w:qFormat/>
    <w:pPr>
      <w:spacing w:lineRule="auto" w:line="480" w:before="0" w:after="120"/>
    </w:pPr>
    <w:rPr/>
  </w:style>
  <w:style w:type="paragraph" w:styleId="Style16">
    <w:name w:val="Текст выноски"/>
    <w:basedOn w:val="Normal"/>
    <w:qFormat/>
    <w:pPr/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2025-01-07T04:31:00Z</dcterms:created>
  <dc:creator>Admin</dc:creator>
  <dc:description/>
  <cp:keywords/>
  <dc:language>en-US</dc:language>
  <cp:lastModifiedBy>Людмилла Насибуллина</cp:lastModifiedBy>
  <cp:lastPrinted>2026-02-20T11:26:00Z</cp:lastPrinted>
  <dcterms:modified xsi:type="dcterms:W3CDTF">2026-05-15T05:38:00Z</dcterms:modified>
  <cp:revision>13</cp:revision>
  <dc:subject/>
  <dc:title>УТВЕРЖДАЮ</dc:title>
</cp:coreProperties>
</file>