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wmf" ContentType="image/x-wmf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76"/>
        <w:ind w:firstLine="720" w:left="7200" w:right="0"/>
        <w:jc w:val="right"/>
        <w:rPr>
          <w:sz w:val="26"/>
          <w:szCs w:val="26"/>
        </w:rPr>
      </w:pPr>
      <w:r>
        <w:rPr>
          <w:sz w:val="26"/>
          <w:szCs w:val="26"/>
        </w:rPr>
        <w:t>УТВЕРЖДАЮ</w:t>
      </w:r>
    </w:p>
    <w:p>
      <w:pPr>
        <w:pStyle w:val="Normal"/>
        <w:spacing w:lineRule="auto" w:line="276"/>
        <w:jc w:val="right"/>
        <w:rPr>
          <w:sz w:val="26"/>
          <w:szCs w:val="26"/>
        </w:rPr>
      </w:pPr>
      <w:r>
        <w:rPr>
          <w:sz w:val="26"/>
          <w:szCs w:val="26"/>
        </w:rPr>
        <w:t>ТЕХНИЧЕСКИЙ ДИРЕКТОР</w:t>
      </w:r>
    </w:p>
    <w:p>
      <w:pPr>
        <w:pStyle w:val="Normal"/>
        <w:spacing w:lineRule="auto" w:line="276"/>
        <w:jc w:val="right"/>
        <w:rPr>
          <w:sz w:val="26"/>
          <w:szCs w:val="26"/>
        </w:rPr>
      </w:pPr>
      <w:r>
        <w:rPr>
          <w:sz w:val="26"/>
          <w:szCs w:val="26"/>
        </w:rPr>
        <w:t>АО  « ТАШКЕНТСКАЯ ТЭС»</w:t>
      </w:r>
    </w:p>
    <w:p>
      <w:pPr>
        <w:pStyle w:val="Normal"/>
        <w:spacing w:lineRule="auto" w:line="276"/>
        <w:jc w:val="right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t>В.В. Пак</w:t>
      </w:r>
    </w:p>
    <w:p>
      <w:pPr>
        <w:pStyle w:val="Normal"/>
        <w:jc w:val="right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</w:r>
    </w:p>
    <w:p>
      <w:pPr>
        <w:pStyle w:val="Normal"/>
        <w:jc w:val="right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</w:r>
    </w:p>
    <w:p>
      <w:pPr>
        <w:pStyle w:val="Normal"/>
        <w:jc w:val="right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</w:p>
    <w:p>
      <w:pPr>
        <w:pStyle w:val="BodyTextIndent"/>
        <w:ind w:hanging="0" w:right="0"/>
        <w:jc w:val="righ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center"/>
        <w:rPr>
          <w:sz w:val="26"/>
          <w:szCs w:val="26"/>
        </w:rPr>
      </w:pPr>
      <w:r>
        <w:rPr>
          <w:sz w:val="26"/>
          <w:szCs w:val="26"/>
        </w:rPr>
        <w:t>ТИПОВАЯ ПРОГРАММА</w:t>
      </w:r>
    </w:p>
    <w:p>
      <w:pPr>
        <w:pStyle w:val="BodyTextIndent"/>
        <w:ind w:hanging="0" w:right="0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пуск на холостой ход, проверка автомата безопасности маслом, балансировка ТГ,  </w:t>
      </w:r>
    </w:p>
    <w:p>
      <w:pPr>
        <w:pStyle w:val="BodyTextIndent"/>
        <w:ind w:hanging="0" w:right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c открытыми щитами генератора после  ремонта блоков.</w:t>
      </w:r>
    </w:p>
    <w:p>
      <w:pPr>
        <w:pStyle w:val="BodyTextIndent"/>
        <w:ind w:hanging="0" w:right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Indent"/>
        <w:ind w:hanging="0" w:right="0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rPr/>
      </w:pPr>
      <w:r>
        <w:rPr>
          <w:sz w:val="26"/>
          <w:szCs w:val="26"/>
        </w:rPr>
        <w:tab/>
      </w:r>
      <w:r>
        <w:rPr>
          <w:b/>
          <w:sz w:val="26"/>
          <w:szCs w:val="26"/>
        </w:rPr>
        <w:t>1.Целью испытания являются:</w:t>
      </w:r>
      <w:r>
        <w:rPr>
          <w:sz w:val="26"/>
          <w:szCs w:val="26"/>
        </w:rPr>
        <w:t xml:space="preserve"> проверка выхода ТГ на холостой ход, проверка автомата безопасности маслом после разборки отдельных узлов системы регулирования без увеличения частоты вращения ТГ и балансировка после ремонта блоков  для устранения повышенной вибрации опор турбоагрегата.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>2. Подготовительные работы:</w:t>
      </w:r>
    </w:p>
    <w:p>
      <w:pPr>
        <w:pStyle w:val="BodyTextIndent"/>
        <w:ind w:hanging="0" w:right="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2.1. До начала испытаний по данной программе должно быть выполнено: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2.1.1. Поузловая приемка оборудования и опробование его в работе.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2.1.2. На период опробования х.х., при опробовании АБ,  в период балансировки ТГ – включить в работу НГО и НВОС.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</w:r>
      <w:r>
        <w:rPr>
          <w:sz w:val="26"/>
          <w:szCs w:val="26"/>
          <w:lang w:val="en-US"/>
        </w:rPr>
        <w:t>2</w:t>
      </w:r>
      <w:r>
        <w:rPr>
          <w:sz w:val="26"/>
          <w:szCs w:val="26"/>
        </w:rPr>
        <w:t>.1.3. При опробовании АБ включить в  работу НГО и ВОС.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2.2. На период опробования холостого хода балансировки ТГ и испытания узлов системы регулирования, ремонтная организация обеспечивает дежурство инженерно-технического и рабочего персонала, устранение дефектов, выявленных во время опробования.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2.3. Перед началом  испытаний ремонтные организации прекращают все работы, общий наряд на ремонт блока закрывается.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 xml:space="preserve">            </w:t>
      </w:r>
      <w:r>
        <w:rPr>
          <w:sz w:val="26"/>
          <w:szCs w:val="26"/>
        </w:rPr>
        <w:t>Ответственный – руководитель ремонта  от ремонтной организации.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2.3.1. До растопки котла руководитель ремонта совместно с представителем КТЦ-1,2 проверяют полноту выполнения противопожарных мероприятий с составлением акта.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2.3.2. Переключения в тепловых и электрических схемах выполняет оперативный персонал соответствующих цехов по команде руководителя испытаний.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2.4. Настраиваются приборы для замера вибрации опор ТГ.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2.5. Проводится инструктаж оперативному и ремонтному персоналу, участвующему в испытаниях.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Ответственный – начальник КТЦ –1 или его заместитель.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2.6. Проверяются исправность системы связи и сигнализации.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>3. Расстановка персонала при испытании автомата безопасности.</w:t>
      </w:r>
    </w:p>
    <w:p>
      <w:pPr>
        <w:pStyle w:val="BodyTextIndent"/>
        <w:ind w:hanging="0" w:right="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3.1. Ответственный руководитель по испытаниям  Начальник КТЦ-1,2 или его заместитель на отм. 9 м. ТГ.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3.2. Старший машинист  - у ключа управления турбиной БЩУ.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3.3. Обходчик ТГ – на отм. 9 м.  у местного щита турбины.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>4. Испытания кольца АБ  маслом при работе турбины на холостом ходу.</w:t>
      </w:r>
    </w:p>
    <w:p>
      <w:pPr>
        <w:pStyle w:val="BodyTextIndent"/>
        <w:ind w:hanging="0" w:right="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4.1. Растопка котла, подъем параметров, толчок роторов ТГ производится согласно действующим инструкциям и графика пуска блока.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Ответственный – начальник КТЦ-1,2 или его заместитель.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4.2. Установить частоту вращения ротора равную 0.95 П</w:t>
      </w:r>
      <w:r>
        <w:rPr>
          <w:sz w:val="26"/>
          <w:szCs w:val="26"/>
          <w:vertAlign w:val="superscript"/>
        </w:rPr>
        <w:t>ном</w:t>
      </w:r>
      <w:r>
        <w:rPr>
          <w:sz w:val="26"/>
          <w:szCs w:val="26"/>
        </w:rPr>
        <w:t>. 2850 об.мин.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4.3. Расставить персонал по местам (см. п. 3).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4.4. Подать масло на 1-е кольцо АБ.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4.5. Повысить медленно частоту вращения ротора воздействием на МУТ и фиксировать ее значение в момент срабатывания АБ по штатному тахометру часового типа на отм. 9 м.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>
        <w:rPr>
          <w:sz w:val="26"/>
          <w:szCs w:val="26"/>
        </w:rPr>
        <w:t>4.6. Прекратить подачу масла на бойки.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4.7. Зафиксировать частоту возврата бойка.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4.8. Восстановить частоту вращения ротора.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4.9. Подать масло на второе кольцо АБ.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4.10. Повысить медленно частоту вращения ротора воздействием на МУТ и фиксировать ее значение в момент срабатывание АБ.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4.11. Прекратить подачу масла на бойки.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 xml:space="preserve">4.12. Зафиксировать частоту возврата бойка. Если боек срабатывает при частоте вращения ротора, отличающейся более чем на 1 % от той, что имела в момент срабатывания бойка, предыдущем аналогичном испытании, опыт повторяют: если при повышении частоты вращения до (1,02 – 1,03) П </w:t>
      </w:r>
      <w:r>
        <w:rPr>
          <w:sz w:val="26"/>
          <w:szCs w:val="26"/>
          <w:vertAlign w:val="superscript"/>
        </w:rPr>
        <w:t xml:space="preserve">ном. </w:t>
      </w:r>
      <w:r>
        <w:rPr>
          <w:sz w:val="26"/>
          <w:szCs w:val="26"/>
        </w:rPr>
        <w:t>– 3060 –3090 об/мин. боек не срабатывает, опыт прекращают и выясняют причины отказа.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4.13. При опробовании АБ включить в работу НГО, ВОС и следить за температурным режимом генератора.</w:t>
      </w:r>
    </w:p>
    <w:p>
      <w:pPr>
        <w:pStyle w:val="BodyTextIndent"/>
        <w:ind w:firstLine="720" w:right="0"/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BodyTextIndent"/>
        <w:ind w:firstLine="720" w:right="0"/>
        <w:jc w:val="both"/>
        <w:rPr/>
      </w:pPr>
      <w:r>
        <w:rPr>
          <w:b/>
          <w:sz w:val="26"/>
          <w:szCs w:val="26"/>
        </w:rPr>
        <w:t>Примечание:</w:t>
      </w:r>
      <w:r>
        <w:rPr>
          <w:sz w:val="26"/>
          <w:szCs w:val="26"/>
        </w:rPr>
        <w:t xml:space="preserve"> Проверка автомата безопасности производится при условии выхода ТГ на  3000 об/мин.</w:t>
      </w:r>
    </w:p>
    <w:p>
      <w:pPr>
        <w:pStyle w:val="BodyTextIndent"/>
        <w:ind w:hanging="0" w:right="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b/>
          <w:sz w:val="26"/>
          <w:szCs w:val="26"/>
        </w:rPr>
        <w:tab/>
        <w:t>5. Динамическая балансировка валоповорота ТГ.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5.1. Динамическая балансировка производится для устранения повышенной вибрации опор турбоагрегата.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5.2. Динамическая балансировка проводится с установленными на генератор временными деревянными щитами.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 xml:space="preserve">            </w:t>
      </w:r>
      <w:r>
        <w:rPr>
          <w:sz w:val="26"/>
          <w:szCs w:val="26"/>
        </w:rPr>
        <w:t>5.3. Для проведения динамической балансировки необходимо обеспечить не менее               4 пусков.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>
        <w:rPr>
          <w:sz w:val="26"/>
          <w:szCs w:val="26"/>
        </w:rPr>
        <w:t>5.4. Порядок проведения динамической балансировки: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5.4.1. Нулевой пуск. Замер амплитуды и фазы колебаний опор при 1000 об/мин.  При возможности выход на 3000 об/мин, замер амплитуды и фазы колебаний опор. Остановить турбину. Установка на ротор генератора пробных грузов.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 xml:space="preserve">5.4.2. Пуски с пробными грузами (4 пуска). Замер амплитуды и фазы колебаний опор 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>1000 – 3000 об/мин. Останов турбины, корректировка пробных грузов на роторе генератора.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 xml:space="preserve">            </w:t>
      </w:r>
      <w:r>
        <w:rPr>
          <w:sz w:val="26"/>
          <w:szCs w:val="26"/>
        </w:rPr>
        <w:t xml:space="preserve">5.4.3. Установка уравновешивающих грузов на ротор низкого давления. Пуск, замер амплитуды и фазы колебаний опор на 1000-3000 об\мин.  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 xml:space="preserve">5.5. Пуск и останов ТГ производится по действующей инструкции. 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>
        <w:rPr>
          <w:sz w:val="26"/>
          <w:szCs w:val="26"/>
        </w:rPr>
        <w:t>5.6. Снятие, установка временных щитов производится под наблюдением персонала электроцеха.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5.7. при работе генератора в период балансировки ТГ включить НГО, ВОС и следить за температурным режимом генератора.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</w:r>
      <w:r>
        <w:rPr>
          <w:b/>
          <w:sz w:val="26"/>
          <w:szCs w:val="26"/>
        </w:rPr>
        <w:t>6.  Техника безопасности при проведении испытаний:</w:t>
      </w:r>
    </w:p>
    <w:p>
      <w:pPr>
        <w:pStyle w:val="BodyTextIndent"/>
        <w:ind w:hanging="0" w:right="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6.1. Провести инструктаж персоналу, участвующему в проведении испытаний.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6.2. Удалить из района ТГ персонал, не участвующий в проверке.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6.3. Соблюдать меры безопасности при работе на вращающихся механизмах, при работе в закрытых сосудах, меры безопасности при работе на высоте.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6.4. Ответственность за соблюдение правил ТБ возлагается на зам. начальника или начальника КТЦ-1.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both"/>
        <w:rPr/>
      </w:pPr>
      <w:r>
        <w:rPr>
          <w:b/>
          <w:sz w:val="26"/>
          <w:szCs w:val="26"/>
        </w:rPr>
        <w:t xml:space="preserve">           </w:t>
      </w:r>
      <w:r>
        <w:rPr>
          <w:b/>
          <w:sz w:val="26"/>
          <w:szCs w:val="26"/>
        </w:rPr>
        <w:t>7. Действия оперативного персонала при аварийных ситуациях:</w:t>
      </w:r>
    </w:p>
    <w:p>
      <w:pPr>
        <w:pStyle w:val="BodyTextIndent"/>
        <w:ind w:hanging="0" w:right="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7.1. Обходчик ТГ прекращает доступ пара в турбину, открывает дренажи ТГ, срывает вакуум.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7.2. Старший машинист включает БРОУ, закрывает ГПЗ.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7.3. ответственный руководитель испытаний выбивает ГАБ.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7.4. Машинист энергоблока гасит котёл.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8. Руководство испытанием осуществляет зам. начальника КТЦ-1,2 или начальник КТЦ-1,2.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pacing w:lineRule="auto" w:line="4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Зам. тех. директора по тепломеханической части </w:t>
        <w:tab/>
        <w:tab/>
        <w:tab/>
        <w:tab/>
        <w:t xml:space="preserve">Б.Р. Исмоилов                                              </w:t>
      </w:r>
    </w:p>
    <w:p>
      <w:pPr>
        <w:pStyle w:val="BodyText"/>
        <w:spacing w:lineRule="auto" w:line="4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Начальник  СНТБ                                 </w:t>
        <w:tab/>
        <w:tab/>
        <w:tab/>
        <w:tab/>
        <w:tab/>
        <w:t xml:space="preserve">      </w:t>
        <w:tab/>
        <w:t>Б.Б. Нурдинов</w:t>
      </w:r>
    </w:p>
    <w:p>
      <w:pPr>
        <w:pStyle w:val="BodyText"/>
        <w:spacing w:lineRule="auto" w:line="480"/>
        <w:jc w:val="both"/>
        <w:rPr/>
      </w:pPr>
      <w:r>
        <w:rPr>
          <w:sz w:val="26"/>
          <w:szCs w:val="26"/>
        </w:rPr>
        <w:t>Ведущий инспектор по ОТ и ТБ                                                              Ф.М. Мирзахидова</w:t>
      </w:r>
    </w:p>
    <w:p>
      <w:pPr>
        <w:pStyle w:val="BodyText"/>
        <w:spacing w:lineRule="auto" w:line="480"/>
        <w:jc w:val="both"/>
        <w:rPr>
          <w:sz w:val="26"/>
          <w:szCs w:val="26"/>
          <w:lang w:val="uz-Cyrl-UZ"/>
        </w:rPr>
      </w:pPr>
      <w:r>
        <w:rPr>
          <w:sz w:val="26"/>
          <w:szCs w:val="26"/>
        </w:rPr>
        <w:t xml:space="preserve">Начальник КТЦ-1                                                                           </w:t>
        <w:tab/>
        <w:tab/>
        <w:t>У.Л. Мажлимов</w:t>
      </w:r>
    </w:p>
    <w:p>
      <w:pPr>
        <w:pStyle w:val="BodyText"/>
        <w:spacing w:lineRule="auto" w:line="480"/>
        <w:jc w:val="both"/>
        <w:rPr>
          <w:sz w:val="26"/>
          <w:szCs w:val="26"/>
          <w:lang w:val="uz-Cyrl-UZ"/>
        </w:rPr>
      </w:pPr>
      <w:r>
        <w:rPr>
          <w:sz w:val="26"/>
          <w:szCs w:val="26"/>
        </w:rPr>
        <w:t xml:space="preserve">Начальник КТЦ-2                                                                           </w:t>
        <w:tab/>
        <w:tab/>
        <w:t>М.М. Махкамов</w:t>
      </w:r>
    </w:p>
    <w:p>
      <w:pPr>
        <w:pStyle w:val="BodyText"/>
        <w:spacing w:lineRule="auto" w:line="4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Начальник ЦЦР                                                                                </w:t>
        <w:tab/>
        <w:t xml:space="preserve">       </w:t>
        <w:tab/>
        <w:t>Т.А. Валиев</w:t>
      </w:r>
    </w:p>
    <w:p>
      <w:pPr>
        <w:pStyle w:val="BodyText"/>
        <w:spacing w:lineRule="auto" w:line="480"/>
        <w:jc w:val="both"/>
        <w:rPr/>
      </w:pPr>
      <w:r>
        <w:rPr>
          <w:sz w:val="26"/>
          <w:szCs w:val="26"/>
        </w:rPr>
        <w:t xml:space="preserve">Начальник ЦТКА                                                                           </w:t>
        <w:tab/>
        <w:t xml:space="preserve">      </w:t>
        <w:tab/>
        <w:t xml:space="preserve"> Р. К. Байматов</w:t>
      </w:r>
    </w:p>
    <w:p>
      <w:pPr>
        <w:pStyle w:val="BodyText"/>
        <w:spacing w:lineRule="auto" w:line="480"/>
        <w:jc w:val="both"/>
        <w:rPr/>
      </w:pPr>
      <w:r>
        <w:rPr>
          <w:sz w:val="26"/>
          <w:szCs w:val="26"/>
        </w:rPr>
        <w:t xml:space="preserve">Начальник Эл.цеха                                                                         </w:t>
        <w:tab/>
        <w:t xml:space="preserve">       М.Д. Кенжибаев</w:t>
      </w:r>
    </w:p>
    <w:p>
      <w:pPr>
        <w:pStyle w:val="BodyText"/>
        <w:spacing w:lineRule="auto" w:line="480"/>
        <w:jc w:val="both"/>
        <w:rPr/>
      </w:pPr>
      <w:r>
        <w:rPr>
          <w:sz w:val="26"/>
          <w:szCs w:val="26"/>
        </w:rPr>
        <w:t xml:space="preserve">Начальник лаб. металлов                                                                </w:t>
        <w:tab/>
        <w:t xml:space="preserve">        Л.У. Эшонкулов</w:t>
      </w:r>
    </w:p>
    <w:p>
      <w:pPr>
        <w:pStyle w:val="Normal"/>
        <w:spacing w:lineRule="auto" w:line="600"/>
        <w:ind w:hanging="720" w:left="720" w:right="-55"/>
        <w:jc w:val="both"/>
        <w:rPr/>
      </w:pPr>
      <w:r>
        <w:rPr>
          <w:sz w:val="26"/>
          <w:szCs w:val="26"/>
        </w:rPr>
        <w:t xml:space="preserve">Руководитель работ. уч-ка «УЭТ»                                             </w:t>
        <w:tab/>
        <w:tab/>
        <w:t xml:space="preserve"> А. Мамиров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both"/>
        <w:rPr/>
      </w:pPr>
      <w:r>
        <w:rPr/>
      </w:r>
    </w:p>
    <w:p>
      <w:pPr>
        <w:pStyle w:val="BodyTextIndent"/>
        <w:ind w:hanging="0" w:right="0"/>
        <w:jc w:val="both"/>
        <w:rPr/>
      </w:pPr>
      <w:r>
        <w:rPr/>
      </w:r>
    </w:p>
    <w:p>
      <w:pPr>
        <w:pStyle w:val="BodyTextIndent"/>
        <w:ind w:hanging="0" w:right="0"/>
        <w:jc w:val="right"/>
        <w:rPr>
          <w:sz w:val="26"/>
          <w:szCs w:val="26"/>
          <w:lang w:val="en-US" w:eastAsia="en-US"/>
        </w:rPr>
      </w:pPr>
      <w:r>
        <w:rPr>
          <w:sz w:val="26"/>
          <w:szCs w:val="26"/>
          <w:lang w:val="en-US" w:eastAsia="en-US"/>
        </w:rPr>
        <w:drawing>
          <wp:anchor behindDoc="0" distT="0" distB="0" distL="114935" distR="114935" simplePos="0" locked="0" layoutInCell="1" allowOverlap="1" relativeHeight="2">
            <wp:simplePos x="0" y="0"/>
            <wp:positionH relativeFrom="column">
              <wp:posOffset>3479165</wp:posOffset>
            </wp:positionH>
            <wp:positionV relativeFrom="paragraph">
              <wp:posOffset>33020</wp:posOffset>
            </wp:positionV>
            <wp:extent cx="1033780" cy="56578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2" t="-22" r="-12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780" cy="565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Indent"/>
        <w:ind w:hanging="0" w:right="0"/>
        <w:jc w:val="right"/>
        <w:rPr/>
      </w:pPr>
      <w:r>
        <w:rPr/>
      </w:r>
    </w:p>
    <w:p>
      <w:pPr>
        <w:pStyle w:val="BodyTextIndent"/>
        <w:ind w:hanging="0" w:right="0"/>
        <w:jc w:val="right"/>
        <w:rPr/>
      </w:pPr>
      <w:r>
        <w:rPr/>
      </w:r>
    </w:p>
    <w:p>
      <w:pPr>
        <w:pStyle w:val="BodyTextIndent"/>
        <w:ind w:hanging="0" w:right="0"/>
        <w:jc w:val="right"/>
        <w:rPr/>
      </w:pPr>
      <w:r>
        <w:rPr/>
      </w:r>
    </w:p>
    <w:p>
      <w:pPr>
        <w:pStyle w:val="BodyTextIndent"/>
        <w:ind w:hanging="0" w:right="0"/>
        <w:jc w:val="right"/>
        <w:rPr/>
      </w:pPr>
      <w:r>
        <w:rPr/>
      </w:r>
    </w:p>
    <w:p>
      <w:pPr>
        <w:pStyle w:val="BodyTextIndent"/>
        <w:ind w:hanging="0" w:right="0"/>
        <w:jc w:val="right"/>
        <w:rPr/>
      </w:pPr>
      <w:r>
        <w:rPr/>
      </w:r>
    </w:p>
    <w:p>
      <w:pPr>
        <w:pStyle w:val="BodyTextIndent"/>
        <w:ind w:hanging="0" w:right="0"/>
        <w:jc w:val="right"/>
        <w:rPr/>
      </w:pPr>
      <w:r>
        <w:rPr/>
      </w:r>
    </w:p>
    <w:p>
      <w:pPr>
        <w:pStyle w:val="BodyTextIndent"/>
        <w:ind w:hanging="0" w:right="0"/>
        <w:jc w:val="right"/>
        <w:rPr/>
      </w:pPr>
      <w:r>
        <w:rPr/>
      </w:r>
    </w:p>
    <w:p>
      <w:pPr>
        <w:pStyle w:val="BodyTextIndent"/>
        <w:ind w:hanging="0" w:right="0"/>
        <w:jc w:val="right"/>
        <w:rPr/>
      </w:pPr>
      <w:r>
        <w:rPr/>
      </w:r>
    </w:p>
    <w:p>
      <w:pPr>
        <w:pStyle w:val="BodyTextIndent"/>
        <w:ind w:hanging="0" w:right="0"/>
        <w:jc w:val="right"/>
        <w:rPr/>
      </w:pPr>
      <w:r>
        <w:rPr/>
      </w:r>
    </w:p>
    <w:p>
      <w:pPr>
        <w:pStyle w:val="BodyTextIndent"/>
        <w:ind w:hanging="0" w:right="0"/>
        <w:jc w:val="right"/>
        <w:rPr/>
      </w:pPr>
      <w:r>
        <w:rPr/>
      </w:r>
    </w:p>
    <w:p>
      <w:pPr>
        <w:pStyle w:val="BodyTextIndent"/>
        <w:ind w:hanging="0" w:right="0"/>
        <w:jc w:val="right"/>
        <w:rPr/>
      </w:pPr>
      <w:r>
        <w:rPr/>
      </w:r>
    </w:p>
    <w:p>
      <w:pPr>
        <w:pStyle w:val="BodyTextIndent"/>
        <w:ind w:hanging="0" w:right="0"/>
        <w:jc w:val="right"/>
        <w:rPr/>
      </w:pPr>
      <w:r>
        <w:rPr/>
      </w:r>
    </w:p>
    <w:p>
      <w:pPr>
        <w:pStyle w:val="BodyTextIndent"/>
        <w:ind w:hanging="0" w:right="0"/>
        <w:jc w:val="right"/>
        <w:rPr/>
      </w:pPr>
      <w:r>
        <w:rPr/>
      </w:r>
    </w:p>
    <w:p>
      <w:pPr>
        <w:pStyle w:val="BodyTextIndent"/>
        <w:ind w:hanging="0" w:right="0"/>
        <w:jc w:val="right"/>
        <w:rPr/>
      </w:pPr>
      <w:r>
        <w:rPr/>
      </w:r>
    </w:p>
    <w:p>
      <w:pPr>
        <w:pStyle w:val="BodyTextIndent"/>
        <w:ind w:hanging="0" w:right="0"/>
        <w:jc w:val="right"/>
        <w:rPr/>
      </w:pPr>
      <w:r>
        <w:rPr/>
      </w:r>
    </w:p>
    <w:p>
      <w:pPr>
        <w:pStyle w:val="BodyTextIndent"/>
        <w:tabs>
          <w:tab w:val="clear" w:pos="720"/>
          <w:tab w:val="left" w:pos="420" w:leader="none"/>
        </w:tabs>
        <w:ind w:hanging="0" w:right="0"/>
        <w:rPr/>
      </w:pPr>
      <w:r>
        <w:rPr/>
        <w:tab/>
      </w:r>
    </w:p>
    <w:p>
      <w:pPr>
        <w:pStyle w:val="BodyTextIndent"/>
        <w:tabs>
          <w:tab w:val="clear" w:pos="720"/>
          <w:tab w:val="left" w:pos="420" w:leader="none"/>
        </w:tabs>
        <w:ind w:hanging="0" w:right="0"/>
        <w:rPr/>
      </w:pPr>
      <w:r>
        <w:rPr/>
      </w:r>
    </w:p>
    <w:p>
      <w:pPr>
        <w:pStyle w:val="BodyTextIndent"/>
        <w:tabs>
          <w:tab w:val="clear" w:pos="720"/>
          <w:tab w:val="left" w:pos="420" w:leader="none"/>
        </w:tabs>
        <w:ind w:hanging="0" w:right="0"/>
        <w:rPr/>
      </w:pPr>
      <w:r>
        <w:rPr/>
      </w:r>
    </w:p>
    <w:p>
      <w:pPr>
        <w:pStyle w:val="BodyTextIndent"/>
        <w:tabs>
          <w:tab w:val="clear" w:pos="720"/>
          <w:tab w:val="left" w:pos="420" w:leader="none"/>
        </w:tabs>
        <w:ind w:hanging="0" w:right="0"/>
        <w:rPr/>
      </w:pPr>
      <w:r>
        <w:rPr/>
      </w:r>
    </w:p>
    <w:p>
      <w:pPr>
        <w:pStyle w:val="BodyText"/>
        <w:spacing w:lineRule="auto" w:line="4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Зам. тех. директора по электрооборудованию                                </w:t>
        <w:tab/>
        <w:t xml:space="preserve">А.А. Махмудходжаев 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sectPr>
      <w:type w:val="nextPage"/>
      <w:pgSz w:w="11906" w:h="16838"/>
      <w:pgMar w:left="1276" w:right="566" w:gutter="0" w:header="0" w:top="426" w:footer="0" w:bottom="56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Segoe UI">
    <w:charset w:val="cc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4"/>
    </w:rPr>
  </w:style>
  <w:style w:type="character" w:styleId="Style13">
    <w:name w:val="Основной шрифт абзаца"/>
    <w:qFormat/>
    <w:rPr/>
  </w:style>
  <w:style w:type="character" w:styleId="1">
    <w:name w:val="Заголовок 1 Знак"/>
    <w:qFormat/>
    <w:rPr>
      <w:sz w:val="24"/>
    </w:rPr>
  </w:style>
  <w:style w:type="character" w:styleId="Style14">
    <w:name w:val="Текст выноски Знак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TextIndent">
    <w:name w:val="Body Text Indent"/>
    <w:basedOn w:val="Normal"/>
    <w:pPr>
      <w:ind w:firstLine="851" w:left="0" w:right="0"/>
    </w:pPr>
    <w:rPr>
      <w:sz w:val="24"/>
    </w:rPr>
  </w:style>
  <w:style w:type="paragraph" w:styleId="Style15">
    <w:name w:val="Текст выноски"/>
    <w:basedOn w:val="Normal"/>
    <w:qFormat/>
    <w:pPr/>
    <w:rPr>
      <w:rFonts w:ascii="Segoe UI" w:hAnsi="Segoe UI" w:cs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2025-01-08T03:15:00Z</dcterms:created>
  <dc:creator>КТЦ-1</dc:creator>
  <dc:description/>
  <cp:keywords/>
  <dc:language>en-US</dc:language>
  <cp:lastModifiedBy>Людмилла Насибуллина</cp:lastModifiedBy>
  <cp:lastPrinted>2026-02-26T11:54:00Z</cp:lastPrinted>
  <dcterms:modified xsi:type="dcterms:W3CDTF">2026-05-15T09:41:00Z</dcterms:modified>
  <cp:revision>18</cp:revision>
  <dc:subject/>
  <dc:title>УТВЕРЖДАЮ</dc:title>
</cp:coreProperties>
</file>