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                                 </w:t>
        <w:tab/>
        <w:tab/>
        <w:tab/>
        <w:tab/>
        <w:t xml:space="preserve">  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АО «Ташкентская ТЭС»</w:t>
      </w:r>
    </w:p>
    <w:p>
      <w:pPr>
        <w:pStyle w:val="Normal"/>
        <w:spacing w:lineRule="auto" w:line="276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  <w:tab/>
        <w:tab/>
        <w:tab/>
        <w:tab/>
        <w:tab/>
        <w:tab/>
        <w:tab/>
        <w:tab/>
        <w:tab/>
        <w:t>В.В. Пак</w:t>
      </w:r>
    </w:p>
    <w:p>
      <w:pPr>
        <w:pStyle w:val="Normal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ТИПОВАЯ ПРОГРАММА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вывод энергоблоков в капитальные и средние ремонты энергоблоков Таш  ТЭС.</w:t>
      </w:r>
    </w:p>
    <w:p>
      <w:pPr>
        <w:pStyle w:val="BodyTextInden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Не позднее, чем за 5 дней до вывода в ремонт провести эксплуатационные мероприятия для определения технико-экономических показателей по программе ЦНИ. 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– начальник ОПТО.</w:t>
      </w:r>
    </w:p>
    <w:p>
      <w:pPr>
        <w:pStyle w:val="BodyTextIndent"/>
        <w:jc w:val="both"/>
        <w:rPr/>
      </w:pPr>
      <w:r>
        <w:rPr>
          <w:sz w:val="26"/>
          <w:szCs w:val="26"/>
        </w:rPr>
        <w:t>2. Перед остановом в ремонт пропарить и отключить мазутопроводы в пределах котла согласно действующих производственных инструкций. Длительность – 6 часов.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3. После отключения энергоблока от сети провести проверку плотности стопорных клапанов ВД и СД турбины. Длительность – 7 ч.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– начальник КТЦ-1 или его заместители.</w:t>
      </w:r>
    </w:p>
    <w:p>
      <w:pPr>
        <w:pStyle w:val="BodyTextIndent"/>
        <w:jc w:val="both"/>
        <w:rPr/>
      </w:pPr>
      <w:r>
        <w:rPr>
          <w:sz w:val="26"/>
          <w:szCs w:val="26"/>
        </w:rPr>
        <w:t>4. После останова блока провести консервацию поверхностей нагрева котла по специальной программе. Длительность – 88 часов.</w:t>
      </w:r>
    </w:p>
    <w:p>
      <w:pPr>
        <w:pStyle w:val="BodyTextIndent"/>
        <w:jc w:val="both"/>
        <w:rPr/>
      </w:pPr>
      <w:r>
        <w:rPr>
          <w:sz w:val="26"/>
          <w:szCs w:val="26"/>
        </w:rPr>
        <w:t>Ответственный – начальник КТЦ-1 или его заместители, начальник химического цеха.</w:t>
      </w:r>
    </w:p>
    <w:p>
      <w:pPr>
        <w:pStyle w:val="BodyTextIndent"/>
        <w:jc w:val="both"/>
        <w:rPr/>
      </w:pPr>
      <w:r>
        <w:rPr>
          <w:sz w:val="26"/>
          <w:szCs w:val="26"/>
        </w:rPr>
        <w:t>5. Расхолодить котел и турбину согласно действующих производственных инструкций. Длительность – 48 часов.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– начальник КТЦ-1 или его заместители.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 Вывести в ремонт энергоблок: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6.1. Опорожнить, обеспарить  котлоагрегат, деаэратор, дренажный бак котла, расширитель непрерывной и периодической продувки, БНТ, ПВД, ПНД, ПЭН, конденсатор с системой уплотнений трубных досок, паропроводы и трубопроводы (ОП, ГПП, ХПП, </w:t>
      </w:r>
      <w:r>
        <w:rPr>
          <w:color w:val="FF0000"/>
          <w:sz w:val="26"/>
          <w:szCs w:val="26"/>
        </w:rPr>
        <w:t>БРОУ-1,2</w:t>
      </w:r>
      <w:r>
        <w:rPr>
          <w:sz w:val="26"/>
          <w:szCs w:val="26"/>
        </w:rPr>
        <w:t xml:space="preserve">, отборы ТГ, коллектор уплотнения ТГ, дренажных коллекторов, питательной воды, узла впрысков, основного конденсата, ПОТ и др.) в пределах котла, </w:t>
      </w:r>
      <w:r>
        <w:rPr>
          <w:color w:val="FF0000"/>
          <w:sz w:val="26"/>
          <w:szCs w:val="26"/>
        </w:rPr>
        <w:t>маслосистему</w:t>
      </w:r>
      <w:r>
        <w:rPr>
          <w:sz w:val="26"/>
          <w:szCs w:val="26"/>
        </w:rPr>
        <w:t xml:space="preserve"> турбины, </w:t>
      </w:r>
      <w:r>
        <w:rPr>
          <w:color w:val="FF0000"/>
          <w:sz w:val="26"/>
          <w:szCs w:val="26"/>
        </w:rPr>
        <w:t>ГМБ, ПЭН-А,Б.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6.2. Установить заглушки – на общем газопроводе к котлу, на эстакаде, на напорном и обратном мазутопроводе котла и паропровода от РОУ с/н на блок; на маслопроводах заполнения емкостей турбины и ПЭН со стороны маслохозяйства и доливочного маслобака; на трубопроводах тех.воды от напора ЦН – А, Б на всасы смывных насосов БНС.</w:t>
      </w:r>
    </w:p>
    <w:p>
      <w:pPr>
        <w:pStyle w:val="BodyTextIndent"/>
        <w:jc w:val="both"/>
        <w:rPr/>
      </w:pPr>
      <w:r>
        <w:rPr>
          <w:sz w:val="26"/>
          <w:szCs w:val="26"/>
        </w:rPr>
        <w:t xml:space="preserve">6.3. Отключить потоки со стороны других блоков и цехов – по </w:t>
      </w:r>
      <w:r>
        <w:rPr>
          <w:color w:val="FF0000"/>
          <w:sz w:val="26"/>
          <w:szCs w:val="26"/>
        </w:rPr>
        <w:t>основному</w:t>
      </w:r>
      <w:r>
        <w:rPr>
          <w:sz w:val="26"/>
          <w:szCs w:val="26"/>
        </w:rPr>
        <w:t xml:space="preserve"> конденсату, питательной воде, подпитки блока от ХОВ и БЗК; на подаче тех.воды к подшипникам ЦН –А,Б, </w:t>
      </w:r>
      <w:r>
        <w:rPr>
          <w:color w:val="FF0000"/>
          <w:sz w:val="26"/>
          <w:szCs w:val="26"/>
        </w:rPr>
        <w:t>перемычка по тех.воде охлаждения м/о ТГ и вращающихся механизмов ТДМ.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6.4. Снять напряжение – со схем приводов запорной, регулирующей, предохранительной, защитной арматуры, отсоединить концы кабеля от электроприводов и концевых выключателей, снять ТС, вибродатчики, согласно условий работ по общему наряду.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6.5. Перевести генератор на атмосферный воздух.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6.6. Отшандорить и откачать камеры циркуляционных насосов А и Б.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6.7. Снять напряжение, отсоединить и заземлить питающие кабели электродвигателей – дымососов, дутьевых вентиляторов, вентиляторов горячего дутья, регенеративных вращающихся воздухоподогревателей, фосфатных и гидразинных насосов, дренажных насосов котла и турбины, питательных насосов и их пускоостановочных маслонасосов, циркуляционных насосов, насосов газоохладителей генератора, конденсатных насосов, сливных насосов ПНД, пускового, резервного и аварийного маслонасосов ТГ, резервного и аварийного маслонасосов АМС генератора, ВПУ – валоповорота устройства, насосов водяного охлаждения генератора, ВОС, НГО.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6.8. Выдача общего наряда. Срок 48 часов после останова блока. Ответственный – начальник КТЦ-1 или его заместители.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6.9. Передача блока в ремонт по акту с противопожарными средствами. Ответственный – начальник КТЦ-1 или его заместитель.</w:t>
      </w:r>
    </w:p>
    <w:p>
      <w:pPr>
        <w:pStyle w:val="BodyTextIndent"/>
        <w:jc w:val="both"/>
        <w:rPr/>
      </w:pPr>
      <w:r>
        <w:rPr>
          <w:b/>
          <w:bCs/>
        </w:rPr>
        <w:t>ПРИМЕЧАНИЕ:</w:t>
      </w:r>
      <w:r>
        <w:rPr/>
        <w:t xml:space="preserve"> До остывания турбины, откачки масла и зашандоривания аванкамер ЦН остаются в работе (резерве) – маслосистема ТГ и ПЭН, ВПУ, ЦН А,Б, напорными и сливными циркводами, термоконтроль турбины, конденсатор турбины.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Ответственные: начальник КТЦ-1, начальник электроцеха, начальник ЦТКА, руководитель ремонта.</w:t>
      </w:r>
    </w:p>
    <w:p>
      <w:pPr>
        <w:pStyle w:val="BodyTextInden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"/>
        <w:spacing w:lineRule="auto" w:line="600" w:before="0" w:after="0"/>
        <w:jc w:val="both"/>
        <w:rPr/>
      </w:pPr>
      <w:r>
        <w:rPr>
          <w:sz w:val="26"/>
          <w:szCs w:val="26"/>
        </w:rPr>
        <w:t xml:space="preserve">Зам. тех.директора по тепломеханической части </w:t>
        <w:tab/>
        <w:tab/>
        <w:tab/>
        <w:tab/>
        <w:t xml:space="preserve"> Б.Р. Исмоилов                                              </w:t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 xml:space="preserve">   Б.Б. Нурдинов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ОПТО           </w:t>
        <w:tab/>
        <w:tab/>
        <w:tab/>
        <w:tab/>
        <w:tab/>
        <w:tab/>
        <w:tab/>
        <w:tab/>
        <w:t xml:space="preserve">Б.С. Айтмуратов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Электроцеха                     </w:t>
        <w:tab/>
        <w:tab/>
        <w:tab/>
        <w:tab/>
        <w:tab/>
        <w:tab/>
        <w:t xml:space="preserve">М.Д. Кенжибаев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ЦТКА       </w:t>
        <w:tab/>
        <w:tab/>
        <w:tab/>
        <w:tab/>
        <w:tab/>
        <w:tab/>
        <w:tab/>
        <w:tab/>
        <w:t xml:space="preserve">   Р.К. Байматов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Хим.цеха               </w:t>
        <w:tab/>
        <w:tab/>
        <w:tab/>
        <w:tab/>
        <w:tab/>
        <w:tab/>
        <w:t xml:space="preserve">       Л.П. Хамракулова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КТЦ-2</w:t>
        <w:tab/>
        <w:tab/>
        <w:t xml:space="preserve">          </w:t>
        <w:tab/>
        <w:tab/>
        <w:tab/>
        <w:tab/>
        <w:t xml:space="preserve">    </w:t>
        <w:tab/>
        <w:tab/>
        <w:tab/>
        <w:t>М.М. Махкамов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КТЦ-1</w:t>
        <w:tab/>
        <w:tab/>
        <w:t xml:space="preserve">          </w:t>
        <w:tab/>
        <w:tab/>
        <w:tab/>
        <w:tab/>
        <w:t xml:space="preserve">    </w:t>
        <w:tab/>
        <w:tab/>
        <w:tab/>
        <w:t>У.Л. Мажлимов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/>
      </w:pPr>
      <w:r>
        <w:rPr>
          <w:sz w:val="26"/>
          <w:szCs w:val="26"/>
        </w:rPr>
        <w:t xml:space="preserve">Зам. тех.директора по  электрооборудованию                                 </w:t>
        <w:tab/>
        <w:t>А.А. Махмудходжаев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418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Основной текст Знак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2006-05-29T04:42:00Z</dcterms:created>
  <dc:creator>КТЦ-1</dc:creator>
  <dc:description/>
  <cp:keywords/>
  <dc:language>en-US</dc:language>
  <cp:lastModifiedBy>Людмилла Насибуллина</cp:lastModifiedBy>
  <cp:lastPrinted>2026-02-26T09:21:00Z</cp:lastPrinted>
  <dcterms:modified xsi:type="dcterms:W3CDTF">2026-04-21T04:13:00Z</dcterms:modified>
  <cp:revision>18</cp:revision>
  <dc:subject/>
  <dc:title>УТВЕРЖДАЮ</dc:title>
</cp:coreProperties>
</file>