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76"/>
        <w:jc w:val="right"/>
        <w:rPr>
          <w:sz w:val="26"/>
          <w:szCs w:val="26"/>
        </w:rPr>
      </w:pPr>
      <w:r>
        <w:rPr>
          <w:sz w:val="26"/>
          <w:szCs w:val="26"/>
        </w:rPr>
        <w:t>УТВЕРЖДАЮ</w:t>
      </w:r>
    </w:p>
    <w:p>
      <w:pPr>
        <w:pStyle w:val="Normal"/>
        <w:spacing w:lineRule="auto" w:line="276"/>
        <w:jc w:val="right"/>
        <w:rPr>
          <w:sz w:val="26"/>
          <w:szCs w:val="26"/>
        </w:rPr>
      </w:pPr>
      <w:r>
        <w:rPr>
          <w:sz w:val="26"/>
          <w:szCs w:val="26"/>
        </w:rPr>
        <w:tab/>
        <w:tab/>
        <w:t xml:space="preserve">                                 </w:t>
        <w:tab/>
        <w:tab/>
        <w:tab/>
        <w:t>Технический  директор</w:t>
      </w:r>
    </w:p>
    <w:p>
      <w:pPr>
        <w:pStyle w:val="Normal"/>
        <w:spacing w:lineRule="auto" w:line="276"/>
        <w:jc w:val="right"/>
        <w:rPr>
          <w:sz w:val="26"/>
          <w:szCs w:val="26"/>
        </w:rPr>
      </w:pPr>
      <w:r>
        <w:rPr>
          <w:sz w:val="26"/>
          <w:szCs w:val="26"/>
        </w:rPr>
        <w:t xml:space="preserve"> </w:t>
      </w:r>
      <w:r>
        <w:rPr>
          <w:sz w:val="26"/>
          <w:szCs w:val="26"/>
        </w:rPr>
        <w:t>АО «Ташкентская ТЭС»</w:t>
      </w:r>
    </w:p>
    <w:p>
      <w:pPr>
        <w:pStyle w:val="Normal"/>
        <w:spacing w:lineRule="auto" w:line="276"/>
        <w:jc w:val="right"/>
        <w:rPr>
          <w:b/>
          <w:sz w:val="28"/>
          <w:szCs w:val="28"/>
        </w:rPr>
      </w:pPr>
      <w:r>
        <w:rPr>
          <w:sz w:val="26"/>
          <w:szCs w:val="26"/>
        </w:rPr>
        <w:tab/>
        <w:tab/>
        <w:tab/>
        <w:tab/>
        <w:tab/>
        <w:tab/>
        <w:tab/>
        <w:tab/>
        <w:tab/>
        <w:tab/>
        <w:t>В.В. Пак</w:t>
      </w:r>
    </w:p>
    <w:p>
      <w:pPr>
        <w:pStyle w:val="Heading2"/>
        <w:ind w:hanging="0" w:left="0"/>
        <w:jc w:val="both"/>
        <w:rPr>
          <w:szCs w:val="28"/>
        </w:rPr>
      </w:pPr>
      <w:r>
        <w:rPr>
          <w:szCs w:val="28"/>
        </w:rPr>
        <w:t xml:space="preserve">                                       </w:t>
      </w:r>
    </w:p>
    <w:p>
      <w:pPr>
        <w:pStyle w:val="Normal"/>
        <w:rPr>
          <w:szCs w:val="28"/>
        </w:rPr>
      </w:pPr>
      <w:r>
        <w:rPr>
          <w:szCs w:val="28"/>
        </w:rPr>
      </w:r>
    </w:p>
    <w:p>
      <w:pPr>
        <w:pStyle w:val="Normal"/>
        <w:rPr/>
      </w:pPr>
      <w:r>
        <w:rPr/>
      </w:r>
    </w:p>
    <w:p>
      <w:pPr>
        <w:pStyle w:val="Normal"/>
        <w:rPr>
          <w:b/>
          <w:bCs/>
          <w:color w:val="FFFFFF"/>
        </w:rPr>
      </w:pPr>
      <w:r>
        <w:rPr>
          <w:b/>
          <w:bCs/>
          <w:color w:val="FFFFFF"/>
        </w:rPr>
        <w:t>ЭТА ПРОГРАММА НЕ НУЖНА</w:t>
      </w:r>
    </w:p>
    <w:p>
      <w:pPr>
        <w:pStyle w:val="Heading2"/>
        <w:ind w:hanging="0" w:left="0"/>
        <w:jc w:val="center"/>
        <w:rPr>
          <w:sz w:val="24"/>
          <w:szCs w:val="24"/>
        </w:rPr>
      </w:pPr>
      <w:r>
        <w:rPr>
          <w:sz w:val="24"/>
          <w:szCs w:val="24"/>
        </w:rPr>
        <w:t>ПРОЕКТ ПРОИЗВОДСТВА РАБОТ</w:t>
      </w:r>
    </w:p>
    <w:p>
      <w:pPr>
        <w:pStyle w:val="Heading1"/>
        <w:ind w:hanging="0" w:left="0"/>
        <w:jc w:val="center"/>
        <w:rPr>
          <w:b/>
          <w:szCs w:val="24"/>
        </w:rPr>
      </w:pPr>
      <w:r>
        <w:rPr>
          <w:b/>
          <w:szCs w:val="24"/>
        </w:rPr>
        <w:t>ВОССТАНОВЛЕНИЕ ХИМ.РЕЖИМА В СООТВЕТСТВИИ</w:t>
      </w:r>
    </w:p>
    <w:p>
      <w:pPr>
        <w:pStyle w:val="Heading1"/>
        <w:ind w:hanging="0" w:left="0"/>
        <w:jc w:val="center"/>
        <w:rPr>
          <w:b/>
          <w:szCs w:val="24"/>
        </w:rPr>
      </w:pPr>
      <w:r>
        <w:rPr>
          <w:b/>
          <w:szCs w:val="24"/>
        </w:rPr>
        <w:t>С НОРМАМИ ПТЭ, ПРИ ПУСКЕ БЛОКОВ ИЗ РАЗЛИЧНЫХ СОСТОЯНИЙ ИЛИ</w:t>
      </w:r>
    </w:p>
    <w:p>
      <w:pPr>
        <w:pStyle w:val="Heading1"/>
        <w:ind w:hanging="0" w:left="0"/>
        <w:jc w:val="center"/>
        <w:rPr>
          <w:b/>
          <w:szCs w:val="24"/>
        </w:rPr>
      </w:pPr>
      <w:r>
        <w:rPr>
          <w:b/>
          <w:szCs w:val="24"/>
        </w:rPr>
        <w:t>ПРИ УХУДШЕНИИ АНАЛИЗА НА РАБОТАЮЩЕМ БЛОКЕ.</w:t>
      </w:r>
    </w:p>
    <w:p>
      <w:pPr>
        <w:pStyle w:val="Normal"/>
        <w:jc w:val="both"/>
        <w:rPr>
          <w:b/>
          <w:sz w:val="28"/>
          <w:szCs w:val="28"/>
        </w:rPr>
      </w:pPr>
      <w:r>
        <w:rPr>
          <w:b/>
          <w:sz w:val="28"/>
          <w:szCs w:val="28"/>
        </w:rPr>
      </w:r>
    </w:p>
    <w:p>
      <w:pPr>
        <w:pStyle w:val="Heading1"/>
        <w:ind w:firstLine="360" w:left="0" w:right="0"/>
        <w:jc w:val="both"/>
        <w:rPr>
          <w:sz w:val="26"/>
          <w:szCs w:val="26"/>
        </w:rPr>
      </w:pPr>
      <w:r>
        <w:rPr>
          <w:sz w:val="26"/>
          <w:szCs w:val="26"/>
        </w:rPr>
        <w:t>При пуске блоков из различных состояний могут быть анализы выше нормы ПТЭ, из-за присосов сырой воды через вальцовку или неплотности конденсаторных трубок. Для восстановления анализов до нормы необходимо:</w:t>
      </w:r>
    </w:p>
    <w:p>
      <w:pPr>
        <w:pStyle w:val="Normal"/>
        <w:rPr>
          <w:sz w:val="16"/>
          <w:szCs w:val="16"/>
        </w:rPr>
      </w:pPr>
      <w:r>
        <w:rPr>
          <w:sz w:val="16"/>
          <w:szCs w:val="16"/>
        </w:rPr>
      </w:r>
    </w:p>
    <w:p>
      <w:pPr>
        <w:pStyle w:val="Heading1"/>
        <w:numPr>
          <w:ilvl w:val="0"/>
          <w:numId w:val="3"/>
        </w:numPr>
        <w:jc w:val="both"/>
        <w:rPr>
          <w:sz w:val="26"/>
          <w:szCs w:val="26"/>
        </w:rPr>
      </w:pPr>
      <w:r>
        <w:rPr>
          <w:sz w:val="26"/>
          <w:szCs w:val="26"/>
        </w:rPr>
        <w:t xml:space="preserve">Перед пуском блока включить в работу конденсатный насос, открыть пар на хоз. эжектор, открыть задвижки с верхних точек сливных циркводоводов (левого и правого) на линию отсоса воздуха хоз. эжектора, натянуть сифон, включить ЦН в работу. </w:t>
      </w:r>
    </w:p>
    <w:p>
      <w:pPr>
        <w:pStyle w:val="Heading1"/>
        <w:numPr>
          <w:ilvl w:val="0"/>
          <w:numId w:val="3"/>
        </w:numPr>
        <w:jc w:val="both"/>
        <w:rPr>
          <w:sz w:val="26"/>
          <w:szCs w:val="26"/>
        </w:rPr>
      </w:pPr>
      <w:r>
        <w:rPr>
          <w:sz w:val="26"/>
          <w:szCs w:val="26"/>
        </w:rPr>
        <w:t>Закрыть пар на хоз. эжектор, продуть пробоотборные точки основного конденсата, отобрать анализ, повторно отобрать анализ основного конденсата через 20 мин. Основной конденсат без разрешения химического цеха в цикл не включать. Воду, не соответствующую нормам ПТЭ при переполнении конденсатора ТГ откачивать в химический цех.</w:t>
      </w:r>
    </w:p>
    <w:p>
      <w:pPr>
        <w:pStyle w:val="Heading1"/>
        <w:numPr>
          <w:ilvl w:val="0"/>
          <w:numId w:val="3"/>
        </w:numPr>
        <w:jc w:val="both"/>
        <w:rPr>
          <w:sz w:val="26"/>
          <w:szCs w:val="26"/>
        </w:rPr>
      </w:pPr>
      <w:r>
        <w:rPr>
          <w:sz w:val="26"/>
          <w:szCs w:val="26"/>
        </w:rPr>
        <w:t>После включение в работу БРОУ 1,2  отобрать анализ основного конденсата. Через 20 мин. повторить анализ.</w:t>
      </w:r>
    </w:p>
    <w:p>
      <w:pPr>
        <w:pStyle w:val="Heading1"/>
        <w:numPr>
          <w:ilvl w:val="0"/>
          <w:numId w:val="3"/>
        </w:numPr>
        <w:jc w:val="both"/>
        <w:rPr>
          <w:sz w:val="26"/>
          <w:szCs w:val="26"/>
        </w:rPr>
      </w:pPr>
      <w:r>
        <w:rPr>
          <w:sz w:val="26"/>
          <w:szCs w:val="26"/>
        </w:rPr>
        <w:t>После включения в сеть генератора, открыть ГПЗ, убедиться, что оба ГПЗ полностью открылись (по расходомеру пара слева, справа) закрыть БРОУ 1, 2. Осмотреть по месту открытие ГПЗ, продуть пробоотборные точки основного конденсата. Отобрать анализ. При не соответствии нормам ПТЭ,  повторить анализ.</w:t>
      </w:r>
    </w:p>
    <w:p>
      <w:pPr>
        <w:pStyle w:val="Heading1"/>
        <w:numPr>
          <w:ilvl w:val="0"/>
          <w:numId w:val="3"/>
        </w:numPr>
        <w:jc w:val="both"/>
        <w:rPr>
          <w:sz w:val="26"/>
          <w:szCs w:val="26"/>
        </w:rPr>
      </w:pPr>
      <w:r>
        <w:rPr>
          <w:sz w:val="26"/>
          <w:szCs w:val="26"/>
        </w:rPr>
        <w:t>При не соответствии анализа нормам ПТЭ,  отключить поочередно половины конденсатора ТГ по отсосам. Остановить ЦН, разобрать эл.схему после опорожнения водяных камер, открыть лаз конденсатора, отобрать анализ на отсутствие водорода неработающей половины конденсатора и приступить к отысканию неплотных трубок конденсатора ТГ. Параллельно отобрать анализ основного конденсата из работающей половины конденсатора.</w:t>
      </w:r>
    </w:p>
    <w:p>
      <w:pPr>
        <w:pStyle w:val="Normal"/>
        <w:numPr>
          <w:ilvl w:val="1"/>
          <w:numId w:val="2"/>
        </w:numPr>
        <w:jc w:val="both"/>
        <w:rPr>
          <w:sz w:val="26"/>
          <w:szCs w:val="26"/>
        </w:rPr>
      </w:pPr>
      <w:r>
        <w:rPr>
          <w:sz w:val="26"/>
          <w:szCs w:val="26"/>
        </w:rPr>
        <w:t xml:space="preserve"> </w:t>
      </w:r>
      <w:r>
        <w:rPr>
          <w:sz w:val="26"/>
          <w:szCs w:val="26"/>
        </w:rPr>
        <w:t>Отыскание неплотной трубки конденсатора ТГ.</w:t>
      </w:r>
    </w:p>
    <w:p>
      <w:pPr>
        <w:pStyle w:val="Normal"/>
        <w:tabs>
          <w:tab w:val="clear" w:pos="720"/>
          <w:tab w:val="left" w:pos="360" w:leader="none"/>
        </w:tabs>
        <w:ind w:left="426" w:right="0"/>
        <w:jc w:val="both"/>
        <w:rPr>
          <w:sz w:val="26"/>
          <w:szCs w:val="26"/>
        </w:rPr>
      </w:pPr>
      <w:r>
        <w:rPr>
          <w:sz w:val="26"/>
          <w:szCs w:val="26"/>
        </w:rPr>
        <w:t>Неплотная трубка конденсатора отыскивается с помощью свечки или куска полиэтилена. К трубкам подносится горящая свеча. Если трубка неплотная, то пламя свечи будет затягивать во внутрь трубки. При забивании пробки, отглушки неплотной трубки, подачей воздуха с одной стороны трубки и выхода воздуха с другой стороны, точно убедиться в неплотной трубке с обоих сторон, забить металлической пробкой неплотную трубку.</w:t>
      </w:r>
    </w:p>
    <w:p>
      <w:pPr>
        <w:pStyle w:val="Heading1"/>
        <w:numPr>
          <w:ilvl w:val="0"/>
          <w:numId w:val="3"/>
        </w:numPr>
        <w:jc w:val="both"/>
        <w:rPr>
          <w:sz w:val="26"/>
          <w:szCs w:val="26"/>
        </w:rPr>
      </w:pPr>
      <w:r>
        <w:rPr>
          <w:sz w:val="26"/>
          <w:szCs w:val="26"/>
        </w:rPr>
        <w:t>После отыскания неплотных трубок конденсатора ТГ и забивки пробок, закрыть лазы конденсатора ТГ, собрать электрическую схему ЦН, включить в работу ЦН, подтянуть сифон, отобрать анализ основного конденсата при работе обоих ЦНов.  При отрицательных анализах О.К. повторить пункты 5, 6 на этой же половине конденсатора ТГ или на другой половине конденсатора ТГ.</w:t>
      </w:r>
    </w:p>
    <w:p>
      <w:pPr>
        <w:pStyle w:val="Normal"/>
        <w:tabs>
          <w:tab w:val="clear" w:pos="720"/>
          <w:tab w:val="left" w:pos="360" w:leader="none"/>
        </w:tabs>
        <w:ind w:left="426" w:right="0"/>
        <w:jc w:val="both"/>
        <w:rPr>
          <w:color w:val="000000"/>
          <w:sz w:val="26"/>
          <w:szCs w:val="26"/>
        </w:rPr>
      </w:pPr>
      <w:r>
        <w:rPr>
          <w:color w:val="000000"/>
          <w:sz w:val="26"/>
          <w:szCs w:val="26"/>
        </w:rPr>
      </w:r>
    </w:p>
    <w:p>
      <w:pPr>
        <w:pStyle w:val="Heading1"/>
        <w:numPr>
          <w:ilvl w:val="0"/>
          <w:numId w:val="3"/>
        </w:numPr>
        <w:jc w:val="both"/>
        <w:rPr>
          <w:color w:val="000000"/>
          <w:sz w:val="26"/>
          <w:szCs w:val="26"/>
        </w:rPr>
      </w:pPr>
      <w:r>
        <w:rPr>
          <w:color w:val="000000"/>
          <w:sz w:val="26"/>
          <w:szCs w:val="26"/>
        </w:rPr>
        <w:t xml:space="preserve">При содержании </w:t>
      </w:r>
      <w:r>
        <w:rPr>
          <w:color w:val="000000"/>
          <w:sz w:val="26"/>
          <w:szCs w:val="26"/>
          <w:lang w:val="en-US"/>
        </w:rPr>
        <w:t>S</w:t>
      </w:r>
      <w:r>
        <w:rPr>
          <w:color w:val="000000"/>
          <w:sz w:val="26"/>
          <w:szCs w:val="26"/>
          <w:vertAlign w:val="subscript"/>
          <w:lang w:val="en-US"/>
        </w:rPr>
        <w:t>i</w:t>
      </w:r>
      <w:r>
        <w:rPr>
          <w:color w:val="000000"/>
          <w:sz w:val="26"/>
          <w:szCs w:val="26"/>
          <w:lang w:val="en-US"/>
        </w:rPr>
        <w:t>O</w:t>
      </w:r>
      <w:r>
        <w:rPr>
          <w:color w:val="000000"/>
          <w:sz w:val="26"/>
          <w:szCs w:val="26"/>
          <w:vertAlign w:val="subscript"/>
        </w:rPr>
        <w:t>2</w:t>
      </w:r>
      <w:r>
        <w:rPr>
          <w:color w:val="000000"/>
          <w:sz w:val="26"/>
          <w:szCs w:val="26"/>
        </w:rPr>
        <w:t xml:space="preserve">  в парах, больше 15 мкг/л. в парах, держать давление в барабане не более 70 кг.  При завышенном содержании </w:t>
      </w:r>
      <w:r>
        <w:rPr>
          <w:color w:val="000000"/>
          <w:sz w:val="26"/>
          <w:szCs w:val="26"/>
          <w:lang w:val="en-US"/>
        </w:rPr>
        <w:t>S</w:t>
      </w:r>
      <w:r>
        <w:rPr>
          <w:color w:val="000000"/>
          <w:sz w:val="26"/>
          <w:szCs w:val="26"/>
          <w:vertAlign w:val="subscript"/>
          <w:lang w:val="en-US"/>
        </w:rPr>
        <w:t>i</w:t>
      </w:r>
      <w:r>
        <w:rPr>
          <w:color w:val="000000"/>
          <w:sz w:val="26"/>
          <w:szCs w:val="26"/>
        </w:rPr>
        <w:t>О</w:t>
      </w:r>
      <w:r>
        <w:rPr>
          <w:color w:val="000000"/>
          <w:sz w:val="26"/>
          <w:szCs w:val="26"/>
          <w:vertAlign w:val="subscript"/>
        </w:rPr>
        <w:t xml:space="preserve">2 </w:t>
      </w:r>
      <w:r>
        <w:rPr>
          <w:color w:val="000000"/>
          <w:sz w:val="26"/>
          <w:szCs w:val="26"/>
        </w:rPr>
        <w:t>в парах, строго следить за уровнем в барабане.</w:t>
      </w:r>
    </w:p>
    <w:p>
      <w:pPr>
        <w:pStyle w:val="Heading1"/>
        <w:numPr>
          <w:ilvl w:val="0"/>
          <w:numId w:val="3"/>
        </w:numPr>
        <w:jc w:val="both"/>
        <w:rPr>
          <w:color w:val="000000"/>
          <w:sz w:val="26"/>
          <w:szCs w:val="26"/>
        </w:rPr>
      </w:pPr>
      <w:r>
        <w:rPr>
          <w:color w:val="000000"/>
          <w:sz w:val="26"/>
          <w:szCs w:val="26"/>
        </w:rPr>
        <w:t xml:space="preserve">Общее время восстановления анализов основного конденсата приблизительно при отыскании неплотных трубок конденсатора ТГ на обеих половинах  280 мин.                                                                                                                                                                                     </w:t>
      </w:r>
    </w:p>
    <w:p>
      <w:pPr>
        <w:pStyle w:val="Heading1"/>
        <w:numPr>
          <w:ilvl w:val="0"/>
          <w:numId w:val="4"/>
        </w:numPr>
        <w:tabs>
          <w:tab w:val="clear" w:pos="720"/>
        </w:tabs>
        <w:ind w:hanging="1854" w:left="2280" w:right="0"/>
        <w:jc w:val="both"/>
        <w:rPr>
          <w:color w:val="000000"/>
          <w:sz w:val="26"/>
          <w:szCs w:val="26"/>
        </w:rPr>
      </w:pPr>
      <w:r>
        <w:rPr>
          <w:color w:val="000000"/>
          <w:sz w:val="26"/>
          <w:szCs w:val="26"/>
        </w:rPr>
        <w:t>1 отбор анализа занимает  10 мин.</w:t>
      </w:r>
    </w:p>
    <w:p>
      <w:pPr>
        <w:pStyle w:val="Heading1"/>
        <w:numPr>
          <w:ilvl w:val="0"/>
          <w:numId w:val="4"/>
        </w:numPr>
        <w:tabs>
          <w:tab w:val="clear" w:pos="720"/>
        </w:tabs>
        <w:ind w:hanging="1854" w:left="2280" w:right="0"/>
        <w:jc w:val="both"/>
        <w:rPr>
          <w:color w:val="000000"/>
          <w:sz w:val="26"/>
          <w:szCs w:val="26"/>
        </w:rPr>
      </w:pPr>
      <w:r>
        <w:rPr>
          <w:color w:val="000000"/>
          <w:sz w:val="26"/>
          <w:szCs w:val="26"/>
        </w:rPr>
        <w:t>Отключение по отсосам  (одна половина)  20 мин.</w:t>
      </w:r>
    </w:p>
    <w:p>
      <w:pPr>
        <w:pStyle w:val="Heading1"/>
        <w:numPr>
          <w:ilvl w:val="0"/>
          <w:numId w:val="4"/>
        </w:numPr>
        <w:tabs>
          <w:tab w:val="clear" w:pos="720"/>
        </w:tabs>
        <w:ind w:hanging="1854" w:left="2280" w:right="0"/>
        <w:jc w:val="both"/>
        <w:rPr>
          <w:color w:val="000000"/>
          <w:sz w:val="26"/>
          <w:szCs w:val="26"/>
        </w:rPr>
      </w:pPr>
      <w:r>
        <w:rPr>
          <w:color w:val="000000"/>
          <w:sz w:val="26"/>
          <w:szCs w:val="26"/>
        </w:rPr>
        <w:t>Разборка электрической схемы, отбор анализа на водород  20 мин.</w:t>
      </w:r>
    </w:p>
    <w:p>
      <w:pPr>
        <w:pStyle w:val="Heading1"/>
        <w:numPr>
          <w:ilvl w:val="0"/>
          <w:numId w:val="4"/>
        </w:numPr>
        <w:tabs>
          <w:tab w:val="clear" w:pos="720"/>
        </w:tabs>
        <w:ind w:hanging="1854" w:left="2280" w:right="0"/>
        <w:jc w:val="both"/>
        <w:rPr>
          <w:color w:val="000000"/>
          <w:sz w:val="26"/>
          <w:szCs w:val="26"/>
        </w:rPr>
      </w:pPr>
      <w:r>
        <w:rPr>
          <w:color w:val="000000"/>
          <w:sz w:val="26"/>
          <w:szCs w:val="26"/>
        </w:rPr>
        <w:t>Отыскание неплотности на одной половине  90 мин.</w:t>
      </w:r>
    </w:p>
    <w:p>
      <w:pPr>
        <w:pStyle w:val="Normal"/>
        <w:numPr>
          <w:ilvl w:val="0"/>
          <w:numId w:val="4"/>
        </w:numPr>
        <w:tabs>
          <w:tab w:val="clear" w:pos="720"/>
        </w:tabs>
        <w:ind w:hanging="992" w:left="1418" w:right="0"/>
        <w:jc w:val="both"/>
        <w:rPr>
          <w:color w:val="000000"/>
          <w:sz w:val="26"/>
          <w:szCs w:val="26"/>
        </w:rPr>
      </w:pPr>
      <w:r>
        <w:rPr>
          <w:color w:val="000000"/>
          <w:sz w:val="26"/>
          <w:szCs w:val="26"/>
        </w:rPr>
        <w:t xml:space="preserve">Для проведения химического анализа пробы ОК на жесткость необходимо  </w:t>
      </w:r>
    </w:p>
    <w:p>
      <w:pPr>
        <w:pStyle w:val="Normal"/>
        <w:ind w:left="426" w:right="0"/>
        <w:jc w:val="both"/>
        <w:rPr>
          <w:color w:val="000000"/>
          <w:sz w:val="26"/>
          <w:szCs w:val="26"/>
        </w:rPr>
      </w:pPr>
      <w:r>
        <w:rPr>
          <w:color w:val="000000"/>
          <w:sz w:val="26"/>
          <w:szCs w:val="26"/>
        </w:rPr>
        <w:t xml:space="preserve">    </w:t>
      </w:r>
      <w:r>
        <w:rPr>
          <w:color w:val="000000"/>
          <w:sz w:val="26"/>
          <w:szCs w:val="26"/>
        </w:rPr>
        <w:t>10 мин.</w:t>
      </w:r>
    </w:p>
    <w:p>
      <w:pPr>
        <w:pStyle w:val="Normal"/>
        <w:numPr>
          <w:ilvl w:val="0"/>
          <w:numId w:val="4"/>
        </w:numPr>
        <w:tabs>
          <w:tab w:val="clear" w:pos="720"/>
          <w:tab w:val="left" w:pos="567" w:leader="none"/>
        </w:tabs>
        <w:ind w:hanging="283" w:left="709" w:right="0"/>
        <w:jc w:val="both"/>
        <w:rPr>
          <w:color w:val="000000"/>
          <w:sz w:val="26"/>
          <w:szCs w:val="26"/>
        </w:rPr>
      </w:pPr>
      <w:r>
        <w:rPr>
          <w:color w:val="000000"/>
          <w:sz w:val="26"/>
          <w:szCs w:val="26"/>
        </w:rPr>
        <w:t>Общее время восстановления химического анализа на одной половине  140 мин.</w:t>
      </w:r>
    </w:p>
    <w:p>
      <w:pPr>
        <w:pStyle w:val="Heading1"/>
        <w:ind w:hanging="0" w:left="0"/>
        <w:jc w:val="both"/>
        <w:rPr>
          <w:color w:val="000000"/>
          <w:sz w:val="26"/>
          <w:szCs w:val="26"/>
        </w:rPr>
      </w:pPr>
      <w:r>
        <w:rPr>
          <w:color w:val="000000"/>
          <w:sz w:val="26"/>
          <w:szCs w:val="26"/>
        </w:rPr>
        <w:t xml:space="preserve">      </w:t>
      </w:r>
      <w:r>
        <w:rPr>
          <w:color w:val="000000"/>
          <w:sz w:val="26"/>
          <w:szCs w:val="26"/>
        </w:rPr>
        <w:t>Столько же времени на другой половине или при повторном отключении.</w:t>
      </w:r>
    </w:p>
    <w:p>
      <w:pPr>
        <w:pStyle w:val="Normal"/>
        <w:jc w:val="both"/>
        <w:rPr>
          <w:color w:val="000000"/>
          <w:sz w:val="26"/>
          <w:szCs w:val="26"/>
        </w:rPr>
      </w:pPr>
      <w:r>
        <w:rPr>
          <w:color w:val="000000"/>
          <w:sz w:val="26"/>
          <w:szCs w:val="26"/>
        </w:rPr>
      </w:r>
    </w:p>
    <w:p>
      <w:pPr>
        <w:pStyle w:val="Normal"/>
        <w:jc w:val="both"/>
        <w:rPr>
          <w:color w:val="000000"/>
          <w:sz w:val="26"/>
          <w:szCs w:val="26"/>
        </w:rPr>
      </w:pPr>
      <w:r>
        <w:rPr>
          <w:color w:val="000000"/>
          <w:sz w:val="26"/>
          <w:szCs w:val="26"/>
        </w:rPr>
      </w:r>
    </w:p>
    <w:p>
      <w:pPr>
        <w:pStyle w:val="Normal"/>
        <w:jc w:val="both"/>
        <w:rPr>
          <w:color w:val="000000"/>
          <w:sz w:val="26"/>
          <w:szCs w:val="26"/>
        </w:rPr>
      </w:pPr>
      <w:r>
        <w:rPr>
          <w:color w:val="000000"/>
          <w:sz w:val="26"/>
          <w:szCs w:val="26"/>
        </w:rPr>
      </w:r>
    </w:p>
    <w:p>
      <w:pPr>
        <w:pStyle w:val="Normal"/>
        <w:jc w:val="both"/>
        <w:rPr>
          <w:color w:val="000000"/>
          <w:sz w:val="26"/>
          <w:szCs w:val="26"/>
        </w:rPr>
      </w:pPr>
      <w:r>
        <w:rPr>
          <w:color w:val="000000"/>
          <w:sz w:val="26"/>
          <w:szCs w:val="26"/>
        </w:rPr>
      </w:r>
    </w:p>
    <w:p>
      <w:pPr>
        <w:pStyle w:val="Normal"/>
        <w:jc w:val="both"/>
        <w:rPr>
          <w:color w:val="000000"/>
          <w:sz w:val="26"/>
          <w:szCs w:val="26"/>
        </w:rPr>
      </w:pPr>
      <w:r>
        <w:rPr>
          <w:color w:val="000000"/>
          <w:sz w:val="26"/>
          <w:szCs w:val="26"/>
        </w:rPr>
      </w:r>
    </w:p>
    <w:p>
      <w:pPr>
        <w:pStyle w:val="Normal"/>
        <w:jc w:val="both"/>
        <w:rPr>
          <w:color w:val="000000"/>
          <w:sz w:val="26"/>
          <w:szCs w:val="26"/>
        </w:rPr>
      </w:pPr>
      <w:r>
        <w:rPr>
          <w:color w:val="000000"/>
          <w:sz w:val="26"/>
          <w:szCs w:val="26"/>
        </w:rPr>
      </w:r>
    </w:p>
    <w:p>
      <w:pPr>
        <w:pStyle w:val="Heading1"/>
        <w:spacing w:lineRule="auto" w:line="600"/>
        <w:ind w:hanging="0" w:left="0"/>
        <w:jc w:val="both"/>
        <w:rPr>
          <w:color w:val="000000"/>
          <w:sz w:val="26"/>
          <w:szCs w:val="26"/>
        </w:rPr>
      </w:pPr>
      <w:r>
        <w:rPr>
          <w:color w:val="000000"/>
          <w:sz w:val="26"/>
          <w:szCs w:val="26"/>
        </w:rPr>
      </w:r>
    </w:p>
    <w:p>
      <w:pPr>
        <w:pStyle w:val="BodyText"/>
        <w:spacing w:lineRule="auto" w:line="600" w:before="0" w:after="0"/>
        <w:jc w:val="both"/>
        <w:rPr>
          <w:color w:val="000000"/>
          <w:sz w:val="26"/>
          <w:szCs w:val="26"/>
        </w:rPr>
      </w:pPr>
      <w:r>
        <w:rPr>
          <w:color w:val="000000"/>
          <w:sz w:val="26"/>
          <w:szCs w:val="26"/>
        </w:rPr>
        <w:t xml:space="preserve">Зам. тех.директора по тепломеханической части </w:t>
        <w:tab/>
        <w:tab/>
        <w:tab/>
        <w:tab/>
        <w:t xml:space="preserve"> Б.Р. Исмоилов                                              </w:t>
      </w:r>
    </w:p>
    <w:p>
      <w:pPr>
        <w:pStyle w:val="BodyText"/>
        <w:spacing w:lineRule="auto" w:line="600" w:before="0" w:after="0"/>
        <w:jc w:val="both"/>
        <w:rPr>
          <w:color w:val="000000"/>
          <w:sz w:val="26"/>
          <w:szCs w:val="26"/>
        </w:rPr>
      </w:pPr>
      <w:r>
        <w:rPr>
          <w:color w:val="000000"/>
          <w:sz w:val="26"/>
          <w:szCs w:val="26"/>
        </w:rPr>
        <w:t xml:space="preserve">Начальник  СНТБ                                 </w:t>
        <w:tab/>
        <w:tab/>
        <w:tab/>
        <w:tab/>
        <w:tab/>
        <w:tab/>
        <w:t xml:space="preserve">   Б.Б. Нурдинов</w:t>
      </w:r>
    </w:p>
    <w:p>
      <w:pPr>
        <w:pStyle w:val="Normal"/>
        <w:spacing w:lineRule="auto" w:line="600"/>
        <w:jc w:val="both"/>
        <w:rPr/>
      </w:pPr>
      <w:r>
        <w:rPr>
          <w:color w:val="000000"/>
          <w:sz w:val="26"/>
          <w:szCs w:val="26"/>
        </w:rPr>
        <w:t>Начальника  КТЦ-1</w:t>
        <w:tab/>
        <w:tab/>
        <w:tab/>
        <w:tab/>
        <w:tab/>
        <w:t xml:space="preserve">          </w:t>
        <w:tab/>
        <w:tab/>
        <w:tab/>
        <w:t>У.Л. Мажлимов</w:t>
      </w:r>
    </w:p>
    <w:p>
      <w:pPr>
        <w:pStyle w:val="Normal"/>
        <w:spacing w:lineRule="auto" w:line="600"/>
        <w:jc w:val="both"/>
        <w:rPr/>
      </w:pPr>
      <w:r>
        <w:rPr>
          <w:color w:val="000000"/>
          <w:sz w:val="26"/>
          <w:szCs w:val="26"/>
        </w:rPr>
        <w:t xml:space="preserve"> </w:t>
      </w:r>
      <w:r>
        <w:rPr>
          <w:color w:val="000000"/>
          <w:sz w:val="26"/>
          <w:szCs w:val="26"/>
        </w:rPr>
        <w:t>Начальника  КТЦ-2</w:t>
        <w:tab/>
        <w:tab/>
        <w:tab/>
        <w:tab/>
        <w:tab/>
        <w:t xml:space="preserve">          </w:t>
        <w:tab/>
        <w:tab/>
        <w:tab/>
        <w:t>М.М. Махкамов</w:t>
      </w:r>
    </w:p>
    <w:p>
      <w:pPr>
        <w:pStyle w:val="BodyTextIndent"/>
        <w:spacing w:lineRule="auto" w:line="600"/>
        <w:ind w:hanging="0" w:right="0"/>
        <w:jc w:val="both"/>
        <w:rPr>
          <w:color w:val="000000"/>
          <w:sz w:val="26"/>
          <w:szCs w:val="26"/>
        </w:rPr>
      </w:pPr>
      <w:r>
        <w:rPr>
          <w:color w:val="000000"/>
          <w:sz w:val="26"/>
          <w:szCs w:val="26"/>
        </w:rPr>
        <w:t xml:space="preserve">Начальник  хим цеха               </w:t>
        <w:tab/>
        <w:tab/>
        <w:tab/>
        <w:tab/>
        <w:tab/>
        <w:tab/>
        <w:t xml:space="preserve">       Л.П. Хамракулова</w:t>
      </w:r>
    </w:p>
    <w:p>
      <w:pPr>
        <w:pStyle w:val="Heading1"/>
        <w:spacing w:lineRule="auto" w:line="600"/>
        <w:ind w:hanging="0" w:left="0"/>
        <w:rPr>
          <w:color w:val="000000"/>
          <w:sz w:val="26"/>
          <w:szCs w:val="26"/>
        </w:rPr>
      </w:pPr>
      <w:r>
        <w:rPr>
          <w:color w:val="000000"/>
          <w:sz w:val="26"/>
          <w:szCs w:val="26"/>
        </w:rPr>
      </w:r>
    </w:p>
    <w:p>
      <w:pPr>
        <w:pStyle w:val="Normal"/>
        <w:rPr>
          <w:sz w:val="26"/>
          <w:szCs w:val="26"/>
        </w:rPr>
      </w:pPr>
      <w:r>
        <w:rPr>
          <w:sz w:val="26"/>
          <w:szCs w:val="26"/>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BodyText"/>
        <w:spacing w:lineRule="auto" w:line="600" w:before="0" w:after="0"/>
        <w:jc w:val="both"/>
        <w:rPr/>
      </w:pPr>
      <w:r>
        <w:rPr>
          <w:sz w:val="26"/>
          <w:szCs w:val="26"/>
        </w:rPr>
        <w:t xml:space="preserve">Зам. тех.директора по  электрооборудованию                                 </w:t>
        <w:tab/>
        <w:t>А.А. Махмудходжаев</w:t>
      </w:r>
    </w:p>
    <w:p>
      <w:pPr>
        <w:pStyle w:val="Normal"/>
        <w:tabs>
          <w:tab w:val="clear" w:pos="720"/>
          <w:tab w:val="left" w:pos="360" w:leader="none"/>
        </w:tabs>
        <w:ind w:left="426" w:right="0"/>
        <w:jc w:val="both"/>
        <w:rPr>
          <w:sz w:val="26"/>
          <w:szCs w:val="26"/>
        </w:rPr>
      </w:pPr>
      <w:r>
        <w:rPr>
          <w:sz w:val="26"/>
          <w:szCs w:val="26"/>
        </w:rPr>
      </w:r>
    </w:p>
    <w:sectPr>
      <w:type w:val="nextPage"/>
      <w:pgSz w:w="11906" w:h="16838"/>
      <w:pgMar w:left="1418" w:right="567" w:gutter="0" w:header="0" w:top="567" w:footer="0" w:bottom="56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Times New Roman">
    <w:charset w:val="cc"/>
    <w:family w:val="roman"/>
    <w:pitch w:val="variable"/>
  </w:font>
  <w:font w:name="Segoe UI">
    <w:charset w:val="cc"/>
    <w:family w:val="swiss"/>
    <w:pitch w:val="variable"/>
  </w:font>
  <w:font w:name="Liberation Sans">
    <w:altName w:val="Arial"/>
    <w:charset w:val="00"/>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5"/>
      <w:numFmt w:val="decimal"/>
      <w:lvlText w:val="%1"/>
      <w:lvlJc w:val="left"/>
      <w:pPr>
        <w:tabs>
          <w:tab w:val="num" w:pos="360"/>
        </w:tabs>
        <w:ind w:left="360" w:hanging="360"/>
      </w:pPr>
      <w:rPr/>
    </w:lvl>
    <w:lvl w:ilvl="1">
      <w:start w:val="1"/>
      <w:numFmt w:val="decimal"/>
      <w:lvlText w:val="%1.%2"/>
      <w:lvlJc w:val="left"/>
      <w:pPr>
        <w:tabs>
          <w:tab w:val="num" w:pos="360"/>
        </w:tabs>
        <w:ind w:left="360" w:hanging="360"/>
      </w:pPr>
      <w:rPr/>
    </w:lvl>
    <w:lvl w:ilvl="2">
      <w:start w:val="1"/>
      <w:numFmt w:val="decimal"/>
      <w:lvlText w:val="%1.%2.%3"/>
      <w:lvlJc w:val="left"/>
      <w:pPr>
        <w:tabs>
          <w:tab w:val="num" w:pos="720"/>
        </w:tabs>
        <w:ind w:left="720" w:hanging="720"/>
      </w:pPr>
      <w:rPr/>
    </w:lvl>
    <w:lvl w:ilvl="3">
      <w:start w:val="1"/>
      <w:numFmt w:val="decimal"/>
      <w:lvlText w:val="%1.%2.%3.%4"/>
      <w:lvlJc w:val="left"/>
      <w:pPr>
        <w:tabs>
          <w:tab w:val="num" w:pos="720"/>
        </w:tabs>
        <w:ind w:left="720" w:hanging="720"/>
      </w:pPr>
      <w:rPr/>
    </w:lvl>
    <w:lvl w:ilvl="4">
      <w:start w:val="1"/>
      <w:numFmt w:val="decimal"/>
      <w:lvlText w:val="%1.%2.%3.%4.%5"/>
      <w:lvlJc w:val="left"/>
      <w:pPr>
        <w:tabs>
          <w:tab w:val="num" w:pos="1080"/>
        </w:tabs>
        <w:ind w:left="1080" w:hanging="1080"/>
      </w:pPr>
      <w:rPr/>
    </w:lvl>
    <w:lvl w:ilvl="5">
      <w:start w:val="1"/>
      <w:numFmt w:val="decimal"/>
      <w:lvlText w:val="%1.%2.%3.%4.%5.%6"/>
      <w:lvlJc w:val="left"/>
      <w:pPr>
        <w:tabs>
          <w:tab w:val="num" w:pos="1080"/>
        </w:tabs>
        <w:ind w:left="1080" w:hanging="1080"/>
      </w:pPr>
      <w:rPr/>
    </w:lvl>
    <w:lvl w:ilvl="6">
      <w:start w:val="1"/>
      <w:numFmt w:val="decimal"/>
      <w:lvlText w:val="%1.%2.%3.%4.%5.%6.%7"/>
      <w:lvlJc w:val="left"/>
      <w:pPr>
        <w:tabs>
          <w:tab w:val="num" w:pos="1440"/>
        </w:tabs>
        <w:ind w:left="1440" w:hanging="1440"/>
      </w:pPr>
      <w:rPr/>
    </w:lvl>
    <w:lvl w:ilvl="7">
      <w:start w:val="1"/>
      <w:numFmt w:val="decimal"/>
      <w:lvlText w:val="%1.%2.%3.%4.%5.%6.%7.%8"/>
      <w:lvlJc w:val="left"/>
      <w:pPr>
        <w:tabs>
          <w:tab w:val="num" w:pos="1440"/>
        </w:tabs>
        <w:ind w:left="1440" w:hanging="1440"/>
      </w:pPr>
      <w:rPr/>
    </w:lvl>
    <w:lvl w:ilvl="8">
      <w:start w:val="1"/>
      <w:numFmt w:val="decimal"/>
      <w:lvlText w:val="%1.%2.%3.%4.%5.%6.%7.%8.%9"/>
      <w:lvlJc w:val="left"/>
      <w:pPr>
        <w:tabs>
          <w:tab w:val="num" w:pos="1800"/>
        </w:tabs>
        <w:ind w:left="1800" w:hanging="1800"/>
      </w:pPr>
      <w:rPr/>
    </w:lvl>
  </w:abstractNum>
  <w:abstractNum w:abstractNumId="3">
    <w:lvl w:ilvl="0">
      <w:start w:val="1"/>
      <w:numFmt w:val="decimal"/>
      <w:lvlText w:val="%1."/>
      <w:lvlJc w:val="left"/>
      <w:pPr>
        <w:tabs>
          <w:tab w:val="num" w:pos="360"/>
        </w:tabs>
        <w:ind w:left="360" w:hanging="360"/>
      </w:pPr>
      <w:rPr/>
    </w:lvl>
    <w:lvl w:ilvl="1">
      <w:start w:val="1"/>
      <w:isLgl/>
      <w:numFmt w:val="decimal"/>
      <w:lvlText w:val="%1.%2."/>
      <w:lvlJc w:val="left"/>
      <w:pPr>
        <w:tabs>
          <w:tab w:val="num" w:pos="360"/>
        </w:tabs>
        <w:ind w:left="360" w:hanging="360"/>
      </w:pPr>
      <w:rPr/>
    </w:lvl>
    <w:lvl w:ilvl="2">
      <w:start w:val="1"/>
      <w:isLgl/>
      <w:numFmt w:val="decimal"/>
      <w:lvlText w:val="%1.%2.%3."/>
      <w:lvlJc w:val="left"/>
      <w:pPr>
        <w:tabs>
          <w:tab w:val="num" w:pos="720"/>
        </w:tabs>
        <w:ind w:left="720" w:hanging="720"/>
      </w:pPr>
      <w:rPr/>
    </w:lvl>
    <w:lvl w:ilvl="3">
      <w:start w:val="1"/>
      <w:isLgl/>
      <w:numFmt w:val="decimal"/>
      <w:lvlText w:val="%1.%2.%3.%4."/>
      <w:lvlJc w:val="left"/>
      <w:pPr>
        <w:tabs>
          <w:tab w:val="num" w:pos="720"/>
        </w:tabs>
        <w:ind w:left="720" w:hanging="720"/>
      </w:pPr>
      <w:rPr/>
    </w:lvl>
    <w:lvl w:ilvl="4">
      <w:start w:val="1"/>
      <w:isLgl/>
      <w:numFmt w:val="decimal"/>
      <w:lvlText w:val="%1.%2.%3.%4.%5."/>
      <w:lvlJc w:val="left"/>
      <w:pPr>
        <w:tabs>
          <w:tab w:val="num" w:pos="1080"/>
        </w:tabs>
        <w:ind w:left="1080" w:hanging="1080"/>
      </w:pPr>
      <w:rPr/>
    </w:lvl>
    <w:lvl w:ilvl="5">
      <w:start w:val="1"/>
      <w:isLgl/>
      <w:numFmt w:val="decimal"/>
      <w:lvlText w:val="%1.%2.%3.%4.%5.%6."/>
      <w:lvlJc w:val="left"/>
      <w:pPr>
        <w:tabs>
          <w:tab w:val="num" w:pos="1080"/>
        </w:tabs>
        <w:ind w:left="1080" w:hanging="1080"/>
      </w:pPr>
      <w:rPr/>
    </w:lvl>
    <w:lvl w:ilvl="6">
      <w:start w:val="1"/>
      <w:isLgl/>
      <w:numFmt w:val="decimal"/>
      <w:lvlText w:val="%1.%2.%3.%4.%5.%6.%7."/>
      <w:lvlJc w:val="left"/>
      <w:pPr>
        <w:tabs>
          <w:tab w:val="num" w:pos="1080"/>
        </w:tabs>
        <w:ind w:left="1080" w:hanging="1080"/>
      </w:pPr>
      <w:rPr/>
    </w:lvl>
    <w:lvl w:ilvl="7">
      <w:start w:val="1"/>
      <w:isLgl/>
      <w:numFmt w:val="decimal"/>
      <w:lvlText w:val="%1.%2.%3.%4.%5.%6.%7.%8."/>
      <w:lvlJc w:val="left"/>
      <w:pPr>
        <w:tabs>
          <w:tab w:val="num" w:pos="1440"/>
        </w:tabs>
        <w:ind w:left="1440" w:hanging="1440"/>
      </w:pPr>
      <w:rPr/>
    </w:lvl>
    <w:lvl w:ilvl="8">
      <w:start w:val="1"/>
      <w:isLgl/>
      <w:numFmt w:val="decimal"/>
      <w:lvlText w:val="%1.%2.%3.%4.%5.%6.%7.%8.%9."/>
      <w:lvlJc w:val="left"/>
      <w:pPr>
        <w:tabs>
          <w:tab w:val="num" w:pos="1440"/>
        </w:tabs>
        <w:ind w:left="1440" w:hanging="1440"/>
      </w:pPr>
      <w:rPr/>
    </w:lvl>
  </w:abstractNum>
  <w:abstractNum w:abstractNumId="4">
    <w:lvl w:ilvl="0">
      <w:start w:val="1"/>
      <w:numFmt w:val="decimal"/>
      <w:lvlText w:val="%1)"/>
      <w:lvlJc w:val="left"/>
      <w:pPr>
        <w:tabs>
          <w:tab w:val="num" w:pos="720"/>
        </w:tabs>
        <w:ind w:left="2280" w:hanging="360"/>
      </w:pPr>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0"/>
      <w:szCs w:val="20"/>
      <w:lang w:val="ru-RU" w:bidi="ar-SA" w:eastAsia="zh-CN"/>
    </w:rPr>
  </w:style>
  <w:style w:type="paragraph" w:styleId="Heading1">
    <w:name w:val="heading 1"/>
    <w:basedOn w:val="Normal"/>
    <w:next w:val="Normal"/>
    <w:qFormat/>
    <w:pPr>
      <w:keepNext w:val="true"/>
      <w:numPr>
        <w:ilvl w:val="0"/>
        <w:numId w:val="1"/>
      </w:numPr>
      <w:outlineLvl w:val="0"/>
    </w:pPr>
    <w:rPr>
      <w:sz w:val="24"/>
    </w:rPr>
  </w:style>
  <w:style w:type="paragraph" w:styleId="Heading2">
    <w:name w:val="heading 2"/>
    <w:basedOn w:val="Normal"/>
    <w:next w:val="Normal"/>
    <w:qFormat/>
    <w:pPr>
      <w:keepNext w:val="true"/>
      <w:numPr>
        <w:ilvl w:val="1"/>
        <w:numId w:val="1"/>
      </w:numPr>
      <w:outlineLvl w:val="1"/>
    </w:pPr>
    <w:rPr>
      <w:b/>
      <w:sz w:val="28"/>
    </w:rPr>
  </w:style>
  <w:style w:type="character" w:styleId="WW8Num1z0">
    <w:name w:val="WW8Num1z0"/>
    <w:qFormat/>
    <w:rPr/>
  </w:style>
  <w:style w:type="character" w:styleId="WW8Num2z0">
    <w:name w:val="WW8Num2z0"/>
    <w:qFormat/>
    <w:rPr/>
  </w:style>
  <w:style w:type="character" w:styleId="WW8Num3z0">
    <w:name w:val="WW8Num3z0"/>
    <w:qFormat/>
    <w:rPr/>
  </w:style>
  <w:style w:type="character" w:styleId="WW8Num4z0">
    <w:name w:val="WW8Num4z0"/>
    <w:qFormat/>
    <w:rPr/>
  </w:style>
  <w:style w:type="character" w:styleId="Style12">
    <w:name w:val="Основной шрифт абзаца"/>
    <w:qFormat/>
    <w:rPr/>
  </w:style>
  <w:style w:type="character" w:styleId="Style13">
    <w:name w:val="Основной текст с отступом Знак"/>
    <w:qFormat/>
    <w:rPr>
      <w:sz w:val="24"/>
    </w:rPr>
  </w:style>
  <w:style w:type="character" w:styleId="Style14">
    <w:name w:val="Основной текст Знак"/>
    <w:basedOn w:val="Style12"/>
    <w:qFormat/>
    <w:rPr/>
  </w:style>
  <w:style w:type="character" w:styleId="Style15">
    <w:name w:val="Текст выноски Знак"/>
    <w:qFormat/>
    <w:rPr>
      <w:rFonts w:ascii="Segoe UI" w:hAnsi="Segoe UI" w:cs="Segoe UI"/>
      <w:sz w:val="18"/>
      <w:szCs w:val="18"/>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before="0" w:after="12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BodyTextIndent">
    <w:name w:val="Body Text Indent"/>
    <w:basedOn w:val="Normal"/>
    <w:pPr>
      <w:ind w:firstLine="851" w:left="0" w:right="0"/>
    </w:pPr>
    <w:rPr>
      <w:sz w:val="24"/>
    </w:rPr>
  </w:style>
  <w:style w:type="paragraph" w:styleId="Style16">
    <w:name w:val="Текст выноски"/>
    <w:basedOn w:val="Normal"/>
    <w:qFormat/>
    <w:pPr/>
    <w:rPr>
      <w:rFonts w:ascii="Segoe UI" w:hAnsi="Segoe UI" w:cs="Segoe UI"/>
      <w:sz w:val="18"/>
      <w:szCs w:val="18"/>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24</TotalTime>
  <Application>LibreOffice/25.2.3.2$Linux_X86_64 LibreOffice_project/520$Build-2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2024-03-26T09:24:00Z</dcterms:created>
  <dc:creator>КТЦ-1</dc:creator>
  <dc:description/>
  <cp:keywords/>
  <dc:language>en-US</dc:language>
  <cp:lastModifiedBy>Людмилла Насибуллина</cp:lastModifiedBy>
  <cp:lastPrinted>2026-02-26T09:38:00Z</cp:lastPrinted>
  <dcterms:modified xsi:type="dcterms:W3CDTF">2026-04-21T04:15:00Z</dcterms:modified>
  <cp:revision>10</cp:revision>
  <dc:subject/>
  <dc:title>УТВЕРЖДАЮ</dc:title>
</cp:coreProperties>
</file>