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6"/>
        <w:ind w:hanging="0" w:left="0"/>
        <w:jc w:val="right"/>
        <w:rPr>
          <w:sz w:val="26"/>
          <w:szCs w:val="26"/>
        </w:rPr>
      </w:pPr>
      <w:r>
        <w:rPr>
          <w:szCs w:val="24"/>
        </w:rPr>
        <w:t xml:space="preserve">                                                                                      </w:t>
      </w:r>
      <w:r>
        <w:rPr>
          <w:sz w:val="26"/>
          <w:szCs w:val="26"/>
        </w:rPr>
        <w:t>УТВЕРЖДАЮ</w:t>
      </w:r>
    </w:p>
    <w:p>
      <w:pPr>
        <w:pStyle w:val="Normal"/>
        <w:spacing w:lineRule="auto" w:line="276"/>
        <w:jc w:val="right"/>
        <w:rPr/>
      </w:pPr>
      <w:r>
        <w:rPr>
          <w:sz w:val="24"/>
        </w:rPr>
        <w:t>ТЕХНИЧЕСКИЙ ДИРЕКТОР</w:t>
      </w:r>
    </w:p>
    <w:p>
      <w:pPr>
        <w:pStyle w:val="Normal"/>
        <w:spacing w:lineRule="auto" w:line="276"/>
        <w:jc w:val="right"/>
        <w:rPr>
          <w:sz w:val="26"/>
          <w:szCs w:val="26"/>
        </w:rPr>
      </w:pPr>
      <w:r>
        <w:rPr>
          <w:sz w:val="26"/>
          <w:szCs w:val="26"/>
        </w:rPr>
        <w:t>АО  « ТАШКЕНТСКАЯ ТЭС»</w:t>
      </w:r>
    </w:p>
    <w:p>
      <w:pPr>
        <w:pStyle w:val="Normal"/>
        <w:jc w:val="right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В.В. Пак</w:t>
      </w:r>
    </w:p>
    <w:p>
      <w:pPr>
        <w:pStyle w:val="Normal"/>
        <w:jc w:val="right"/>
        <w:rPr>
          <w:sz w:val="24"/>
          <w:szCs w:val="26"/>
          <w:lang w:val="uz-Cyrl-UZ"/>
        </w:rPr>
      </w:pPr>
      <w:r>
        <w:rPr>
          <w:sz w:val="24"/>
          <w:szCs w:val="26"/>
          <w:lang w:val="uz-Cyrl-UZ"/>
        </w:rPr>
      </w:r>
    </w:p>
    <w:p>
      <w:pPr>
        <w:pStyle w:val="Normal"/>
        <w:rPr>
          <w:sz w:val="24"/>
          <w:lang w:val="uz-Cyrl-UZ"/>
        </w:rPr>
      </w:pPr>
      <w:r>
        <w:rPr>
          <w:sz w:val="24"/>
          <w:lang w:val="uz-Cyrl-UZ"/>
        </w:rPr>
      </w:r>
    </w:p>
    <w:p>
      <w:pPr>
        <w:pStyle w:val="Normal"/>
        <w:rPr>
          <w:sz w:val="24"/>
        </w:rPr>
      </w:pPr>
      <w:r>
        <w:rPr>
          <w:sz w:val="24"/>
        </w:rPr>
        <w:t xml:space="preserve">                     </w:t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  <w:t>Т И П О В А Я  П Р О Г РА М М А</w:t>
      </w:r>
    </w:p>
    <w:p>
      <w:pPr>
        <w:pStyle w:val="Normal"/>
        <w:jc w:val="center"/>
        <w:rPr/>
      </w:pPr>
      <w:r>
        <w:rPr>
          <w:b/>
          <w:sz w:val="24"/>
        </w:rPr>
        <w:t xml:space="preserve">проведения  гидравлического испытания котлоагрегата ТГМ-94  </w:t>
      </w:r>
    </w:p>
    <w:p>
      <w:pPr>
        <w:pStyle w:val="Normal"/>
        <w:jc w:val="center"/>
        <w:rPr>
          <w:b/>
          <w:sz w:val="24"/>
        </w:rPr>
      </w:pPr>
      <w:r>
        <w:rPr>
          <w:b/>
          <w:sz w:val="24"/>
        </w:rPr>
        <w:t>после   ремонта блоков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/>
      </w:pPr>
      <w:r>
        <w:rPr/>
        <w:t xml:space="preserve">            </w:t>
      </w:r>
      <w:r>
        <w:rPr/>
        <w:t>Гидравлическое испытание производится с целью проверки на плотность поверхности нагрева в котлоагрегата и трубопроводов.</w:t>
      </w:r>
    </w:p>
    <w:p>
      <w:pPr>
        <w:pStyle w:val="BodyText"/>
        <w:rPr/>
      </w:pPr>
      <w:r>
        <w:rPr/>
      </w:r>
    </w:p>
    <w:p>
      <w:pPr>
        <w:pStyle w:val="Normal"/>
        <w:rPr/>
      </w:pPr>
      <w:r>
        <w:rPr>
          <w:b/>
          <w:sz w:val="24"/>
        </w:rPr>
        <w:t>1.</w:t>
      </w:r>
      <w:r>
        <w:rPr>
          <w:sz w:val="24"/>
        </w:rPr>
        <w:t xml:space="preserve"> ПОДГОТОВИТЕЛЬНЫЕ РАБОТЫ</w:t>
      </w:r>
    </w:p>
    <w:p>
      <w:pPr>
        <w:pStyle w:val="Normal"/>
        <w:rPr>
          <w:sz w:val="16"/>
          <w:szCs w:val="16"/>
        </w:rPr>
      </w:pPr>
      <w:r>
        <w:rPr>
          <w:sz w:val="24"/>
        </w:rPr>
        <w:t xml:space="preserve">         </w:t>
      </w:r>
    </w:p>
    <w:p>
      <w:pPr>
        <w:pStyle w:val="Normal"/>
        <w:rPr/>
      </w:pPr>
      <w:r>
        <w:rPr>
          <w:sz w:val="24"/>
        </w:rPr>
        <w:t xml:space="preserve">       </w:t>
      </w:r>
      <w:r>
        <w:rPr>
          <w:sz w:val="24"/>
        </w:rPr>
        <w:t>До заполнения котла под гидравлическое испытание, должны быть закончены следующие работы и проведена поузловая приемка.</w:t>
      </w:r>
    </w:p>
    <w:p>
      <w:pPr>
        <w:pStyle w:val="Normal"/>
        <w:numPr>
          <w:ilvl w:val="1"/>
          <w:numId w:val="3"/>
        </w:numPr>
        <w:jc w:val="both"/>
        <w:rPr>
          <w:sz w:val="24"/>
        </w:rPr>
      </w:pPr>
      <w:r>
        <w:rPr>
          <w:sz w:val="24"/>
        </w:rPr>
        <w:t>Ремонт поверхностей нагрева котла, барабана, главных паропроводов, паропроводов «холодного» и «горячего», промперегрева, питательных трубопроводов, сдана сварочная документация.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Ремонт РНП, Д-6 ата, дренажного бака, дренажных насосов с арматурой.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Ремонт арматуры: всас и напор ПЭН, задвижки ХПП, импульсно-предохранительные устройства ХПП, ГПП и острого пара, БВК, ДК, БРОУ-1,2, запорная и регулирующая арматура узла 1-х; 2-х; и аварийных впрысков, аварийный сброс котла, продувки пароперегревателей, рециркуляции котла, ГПЗ, байпасы ГПЗ, дренажей до ГПЗ, вход и выход ПВД, холодного питания, дренажей высокого давления котла и промперегрева, вентили водоуказательных колонок, импульсных линий, отборов проб, воздушники, фосфатирования, солевая кратность, непрерывная продувка, нижние точки котла. Вся арматура, имеющая электроприводы, должна быть опробована, ИПУ-1А,Б, ИПУ-2 необходимо заклинить.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Сборка отсечных клапанов промперегрева. Клапан необходимо заклинить.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Установка манометров:</w:t>
      </w:r>
    </w:p>
    <w:p>
      <w:pPr>
        <w:pStyle w:val="Normal"/>
        <w:ind w:left="420" w:right="0"/>
        <w:jc w:val="both"/>
        <w:rPr>
          <w:sz w:val="24"/>
        </w:rPr>
      </w:pPr>
      <w:r>
        <w:rPr>
          <w:sz w:val="24"/>
        </w:rPr>
        <w:t>Давление питательной воды на БЩУ – 1 шт.</w:t>
      </w:r>
    </w:p>
    <w:p>
      <w:pPr>
        <w:pStyle w:val="Normal"/>
        <w:ind w:left="420" w:right="0"/>
        <w:jc w:val="both"/>
        <w:rPr/>
      </w:pPr>
      <w:r>
        <w:rPr>
          <w:sz w:val="24"/>
        </w:rPr>
        <w:t>Давление в барабане котла на БЩУ    - 2 шт.</w:t>
      </w:r>
    </w:p>
    <w:p>
      <w:pPr>
        <w:pStyle w:val="Normal"/>
        <w:ind w:left="420" w:right="0"/>
        <w:jc w:val="both"/>
        <w:rPr>
          <w:sz w:val="24"/>
        </w:rPr>
      </w:pPr>
      <w:r>
        <w:rPr>
          <w:sz w:val="24"/>
        </w:rPr>
        <w:t>Давление острого пара до ГПЗ на БЩУ – 1 шт</w:t>
      </w:r>
    </w:p>
    <w:p>
      <w:pPr>
        <w:pStyle w:val="Normal"/>
        <w:ind w:left="420" w:right="0"/>
        <w:jc w:val="both"/>
        <w:rPr>
          <w:sz w:val="24"/>
        </w:rPr>
      </w:pPr>
      <w:r>
        <w:rPr>
          <w:sz w:val="24"/>
        </w:rPr>
        <w:t>Давление питательной воды за СУП   - 1 шт.</w:t>
      </w:r>
    </w:p>
    <w:p>
      <w:pPr>
        <w:pStyle w:val="Normal"/>
        <w:ind w:left="420" w:right="0"/>
        <w:jc w:val="both"/>
        <w:rPr/>
      </w:pPr>
      <w:r>
        <w:rPr>
          <w:sz w:val="24"/>
        </w:rPr>
        <w:t>Давление в горячем промперегреве   -  2 шт.  – БЩУ</w:t>
      </w:r>
    </w:p>
    <w:p>
      <w:pPr>
        <w:pStyle w:val="Normal"/>
        <w:ind w:left="420" w:right="0"/>
        <w:jc w:val="both"/>
        <w:rPr/>
      </w:pPr>
      <w:r>
        <w:rPr>
          <w:sz w:val="24"/>
        </w:rPr>
        <w:t>Давление в холодном промперегреве - 1 шт. -БЩУ</w:t>
      </w:r>
    </w:p>
    <w:p>
      <w:pPr>
        <w:pStyle w:val="Normal"/>
        <w:ind w:left="420" w:right="0"/>
        <w:jc w:val="both"/>
        <w:rPr>
          <w:sz w:val="24"/>
        </w:rPr>
      </w:pPr>
      <w:r>
        <w:rPr>
          <w:sz w:val="24"/>
        </w:rPr>
        <w:t>Установить заглушки: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За ДК БРОУ – 2А,Б заглушка должна соответствовать ГОСТ 34233-73, закрывается вся арматура котла по воде и пару.</w:t>
      </w:r>
    </w:p>
    <w:p>
      <w:pPr>
        <w:pStyle w:val="Normal"/>
        <w:jc w:val="both"/>
        <w:rPr/>
      </w:pPr>
      <w:r>
        <w:rPr>
          <w:sz w:val="24"/>
        </w:rPr>
        <w:t xml:space="preserve">       </w:t>
      </w:r>
      <w:r>
        <w:rPr>
          <w:sz w:val="24"/>
        </w:rPr>
        <w:t>Заполнение котла, промперегрева и трубопроводов производится после разрешения руководства КТЦ-1,2 и НСС, химобессоленной водой (</w:t>
      </w:r>
      <w:r>
        <w:rPr>
          <w:sz w:val="24"/>
          <w:lang w:val="en-US"/>
        </w:rPr>
        <w:t>c</w:t>
      </w:r>
      <w:r>
        <w:rPr>
          <w:sz w:val="24"/>
        </w:rPr>
        <w:t xml:space="preserve"> температурой не менее 5</w:t>
      </w:r>
      <w:r>
        <w:rPr>
          <w:sz w:val="24"/>
          <w:vertAlign w:val="superscript"/>
        </w:rPr>
        <w:t>0</w:t>
      </w:r>
      <w:r>
        <w:rPr>
          <w:sz w:val="24"/>
        </w:rPr>
        <w:t>С, не более 40</w:t>
      </w:r>
      <w:r>
        <w:rPr>
          <w:sz w:val="24"/>
          <w:vertAlign w:val="superscript"/>
        </w:rPr>
        <w:t>0</w:t>
      </w:r>
      <w:r>
        <w:rPr>
          <w:sz w:val="24"/>
        </w:rPr>
        <w:t>С) дренажными насосами по разрешенной местной заявке. Химобессоленная вода подается в дренажный бак котла от коллектора БЗК через всасывающий коллектор ПЭН.</w:t>
      </w:r>
    </w:p>
    <w:p>
      <w:pPr>
        <w:pStyle w:val="Normal"/>
        <w:ind w:firstLine="420" w:right="0"/>
        <w:jc w:val="both"/>
        <w:rPr/>
      </w:pPr>
      <w:r>
        <w:rPr>
          <w:sz w:val="24"/>
        </w:rPr>
        <w:t>По мере заполнения котла - ремонтным персоналом и оперативным персоналом КТЦ-1 совместно проверяются поверхности нагрева котла и арматуры для обнаружения неплотностей. После заполнения котел опрессовывается дренажными насосами на давление на 6-8 ати и при  отсутствии замечаний начинаются гидравлические испытания.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0"/>
          <w:numId w:val="2"/>
        </w:numPr>
        <w:rPr>
          <w:sz w:val="24"/>
        </w:rPr>
      </w:pPr>
      <w:r>
        <w:rPr>
          <w:sz w:val="24"/>
        </w:rPr>
        <w:t>ПРОВЕДЕНИЕ ГИДРАВЛИЧЕСКИХ ИСПЫТАНИЙ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Ставится под давление перемычка питательной воды от работающего блока.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Давление в котле и промперегреве поднимается (сверх рабочего 1,25) до  34,5 ати с выдержкой в течение пяти минут. (Согласно правилам устройства и безопасной эксплуатации паровых и водогрейных котлов).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Снижается давление до 25 ати и производится осмотр тракта промперегрева.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Закрываются БВК, ДК, БРОУ-1, открываются дренажи и производится опорожнение тракта промперегрева.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Давление в барабане котла поднимается  (сверх рабочего 1,25) до 187,5 ати с выдержкой времени в течение 10 минут. (Согласно правилам устройства и безопасной эксплуатации паровых и водогрейных котлов)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Снижается давление до 130 ати и производится осмотр котла, арматуры и трубопроводов, находящихся под давлением.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Снижается давление до нуля, опорожняется котел и трубопроводы.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Производится восстановление постоянных схем.</w:t>
      </w:r>
    </w:p>
    <w:p>
      <w:pPr>
        <w:pStyle w:val="Normal"/>
        <w:numPr>
          <w:ilvl w:val="1"/>
          <w:numId w:val="2"/>
        </w:numPr>
        <w:jc w:val="both"/>
        <w:rPr>
          <w:sz w:val="24"/>
        </w:rPr>
      </w:pPr>
      <w:r>
        <w:rPr>
          <w:sz w:val="24"/>
        </w:rPr>
        <w:t>Снимается заглушка за ДК БРОУ-2А,Б.</w:t>
      </w:r>
    </w:p>
    <w:p>
      <w:pPr>
        <w:pStyle w:val="Normal"/>
        <w:jc w:val="both"/>
        <w:rPr/>
      </w:pPr>
      <w:r>
        <w:rPr>
          <w:sz w:val="24"/>
        </w:rPr>
        <w:t>2.10 При положительных результатах гидравлического испытания составляется совместный акт.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2"/>
        <w:numPr>
          <w:ilvl w:val="0"/>
          <w:numId w:val="2"/>
        </w:numPr>
        <w:spacing w:lineRule="auto" w:line="240" w:before="0" w:after="0"/>
        <w:rPr>
          <w:sz w:val="24"/>
          <w:szCs w:val="24"/>
        </w:rPr>
      </w:pPr>
      <w:r>
        <w:rPr>
          <w:sz w:val="24"/>
          <w:szCs w:val="24"/>
        </w:rPr>
        <w:t>ОРГАНИЗАЦИОННЫЕ МЕРОПРИЯТИЯ, ОБЕСПЕЧИВАЮЩИЕ БЕЗОПАСНОСТЬ РАБОТ.</w:t>
      </w:r>
    </w:p>
    <w:p>
      <w:pPr>
        <w:pStyle w:val="2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 xml:space="preserve">Перед постановкой под давление перемычки питательной воды прекращаются все работы и выводятся ремонтные бригады: с котла, из района питательных трубопроводов, СУП, паропроводов острого пара, холодного и горячего промперегрева. 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Сдаются промежуточные наряды на работы в указанных местах.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Производство работ на остальных участках котла разрешается. Работающие бригады должны быть предупреждены руководителем ремонта о начале гидравлического испытания и недопустимости нахождения персонала в перечисленных выше местах.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Гидравлическое испытание производится под непосредственным руководством ответственного руководителя ремонта блока и начальника КТЦ-1,2 или его заместителя.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На все время заполнения котла и гидравлического испытания котла выделяется дежурная бригада во главе с мастером. Список бригады передается руководству КТЦ-1,2.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Члены дежурной бригады должны быть проинструктированы ответственными руководителями ремонтных организаций и КТЦ-1,2 о соблюдении ПТБ при производстве гидравлического испытания, с записью в журнале инструктажей.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Все переключения в тепловых и электрических схемах производится оперативным персоналом КТЦ-1,2 и электроцеха согласно поданным заявкам.</w:t>
      </w:r>
    </w:p>
    <w:p>
      <w:pPr>
        <w:pStyle w:val="BodyText"/>
        <w:numPr>
          <w:ilvl w:val="1"/>
          <w:numId w:val="2"/>
        </w:numPr>
        <w:jc w:val="both"/>
        <w:rPr/>
      </w:pPr>
      <w:r>
        <w:rPr/>
        <w:t>Ответственным за соблюдение ПТЭ, ПТБ является начальник КТЦ-1,2 и руководитель ремонта.</w:t>
      </w:r>
    </w:p>
    <w:p>
      <w:pPr>
        <w:pStyle w:val="BodyText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Зам. тех.директора по тепломеханической части </w:t>
        <w:tab/>
        <w:tab/>
        <w:tab/>
        <w:tab/>
        <w:t xml:space="preserve">Б.Р. Исмоилов                                              </w:t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Начальник  СНТБ                                 </w:t>
        <w:tab/>
        <w:tab/>
        <w:tab/>
        <w:tab/>
        <w:tab/>
        <w:tab/>
        <w:t>Б.Б. Нурдинов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Ведущий  инспектор по ОТ и ТБ                                                    </w:t>
        <w:tab/>
        <w:tab/>
        <w:t>Ф.М. Мирзахидова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>Ведущий инспектор по котлонадзору</w:t>
        <w:tab/>
        <w:tab/>
        <w:tab/>
        <w:tab/>
        <w:tab/>
        <w:tab/>
        <w:t>Х.Ф. Абдувалиев</w:t>
      </w:r>
    </w:p>
    <w:p>
      <w:pPr>
        <w:pStyle w:val="BodyText"/>
        <w:spacing w:lineRule="auto" w:line="480"/>
        <w:jc w:val="left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КТЦ-1                                                                           </w:t>
        <w:tab/>
        <w:tab/>
        <w:t>У.Л. Мажлимов</w:t>
      </w:r>
    </w:p>
    <w:p>
      <w:pPr>
        <w:pStyle w:val="BodyText"/>
        <w:spacing w:lineRule="auto" w:line="480"/>
        <w:jc w:val="left"/>
        <w:rPr>
          <w:sz w:val="26"/>
          <w:szCs w:val="26"/>
          <w:lang w:val="uz-Cyrl-UZ"/>
        </w:rPr>
      </w:pPr>
      <w:r>
        <w:rPr>
          <w:sz w:val="26"/>
          <w:szCs w:val="26"/>
        </w:rPr>
        <w:t xml:space="preserve">Начальник КТЦ-2                                                                           </w:t>
        <w:tab/>
        <w:tab/>
        <w:t>М.М. Махкамов</w:t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Начальник ЦТКА                                                                           </w:t>
        <w:tab/>
        <w:tab/>
        <w:t>Р. К. Байматов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Эл.цеха                                                                         </w:t>
        <w:tab/>
        <w:tab/>
        <w:t>М.Д. Кенж</w:t>
      </w:r>
      <w:r>
        <w:rPr>
          <w:sz w:val="26"/>
          <w:szCs w:val="26"/>
          <w:lang w:val="uz-Cyrl-UZ"/>
        </w:rPr>
        <w:t>и</w:t>
      </w:r>
      <w:r>
        <w:rPr>
          <w:sz w:val="26"/>
          <w:szCs w:val="26"/>
        </w:rPr>
        <w:t>баев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лаб. металлов                                                                </w:t>
        <w:tab/>
        <w:tab/>
        <w:t>Л.У. Эшонкулов</w:t>
      </w:r>
    </w:p>
    <w:p>
      <w:pPr>
        <w:pStyle w:val="BodyText"/>
        <w:spacing w:lineRule="auto" w:line="48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ЦЦР                                                                             </w:t>
        <w:tab/>
        <w:tab/>
        <w:t>Т.А. Валиев</w:t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  <w:t>Руководитель работ уч-ка «УЭТ»                                                                Ш.М. Турсунбаев</w:t>
      </w:r>
    </w:p>
    <w:p>
      <w:pPr>
        <w:pStyle w:val="BodyText"/>
        <w:spacing w:lineRule="auto" w:line="480"/>
        <w:jc w:val="left"/>
        <w:rPr/>
      </w:pPr>
      <w:r>
        <w:rPr>
          <w:sz w:val="26"/>
          <w:szCs w:val="26"/>
        </w:rPr>
        <w:t xml:space="preserve">Зам. тех.директора по электрооборудованию </w:t>
        <w:tab/>
        <w:tab/>
        <w:tab/>
        <w:tab/>
        <w:t xml:space="preserve">А.А. Махмудходжаев                                              </w:t>
      </w:r>
    </w:p>
    <w:p>
      <w:pPr>
        <w:pStyle w:val="BodyText"/>
        <w:spacing w:lineRule="auto" w:line="480"/>
        <w:jc w:val="left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</w:rPr>
      </w:r>
    </w:p>
    <w:sectPr>
      <w:type w:val="nextPage"/>
      <w:pgSz w:w="11906" w:h="16838"/>
      <w:pgMar w:left="1134" w:right="567" w:gutter="0" w:header="0" w:top="567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cc"/>
    <w:family w:val="roman"/>
    <w:pitch w:val="variable"/>
  </w:font>
  <w:font w:name="Segoe UI">
    <w:charset w:val="cc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91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4"/>
    </w:rPr>
  </w:style>
  <w:style w:type="character" w:styleId="Style13">
    <w:name w:val="Основной шрифт абзаца"/>
    <w:qFormat/>
    <w:rPr/>
  </w:style>
  <w:style w:type="character" w:styleId="Style14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Style15">
    <w:name w:val="Основной текст Знак"/>
    <w:qFormat/>
    <w:rPr>
      <w:sz w:val="24"/>
    </w:rPr>
  </w:style>
  <w:style w:type="character" w:styleId="1">
    <w:name w:val="Заголовок 1 Знак"/>
    <w:qFormat/>
    <w:rPr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jc w:val="center"/>
    </w:pPr>
    <w:rPr>
      <w:sz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2">
    <w:name w:val="Основной текст 2"/>
    <w:basedOn w:val="Normal"/>
    <w:qFormat/>
    <w:pPr>
      <w:spacing w:lineRule="auto" w:line="480" w:before="0" w:after="120"/>
    </w:pPr>
    <w:rPr/>
  </w:style>
  <w:style w:type="paragraph" w:styleId="Style16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2025-01-07T04:31:00Z</dcterms:created>
  <dc:creator>Admin</dc:creator>
  <dc:description/>
  <cp:keywords/>
  <dc:language>en-US</dc:language>
  <cp:lastModifiedBy>Людмилла Насибуллина</cp:lastModifiedBy>
  <cp:lastPrinted>2026-02-20T11:26:00Z</cp:lastPrinted>
  <dcterms:modified xsi:type="dcterms:W3CDTF">2026-05-15T05:38:00Z</dcterms:modified>
  <cp:revision>13</cp:revision>
  <dc:subject/>
  <dc:title>УТВЕРЖДАЮ</dc:title>
</cp:coreProperties>
</file>