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C1C1C"/>
          <w:sz w:val="44"/>
          <w:szCs w:val="44"/>
        </w:rPr>
        <w:t xml:space="preserve">Intellectual Property Portfolio and Strategy</w:t>
      </w:r>
    </w:p>
    <w:p>
      <w:pPr>
        <w:spacing w:after="40"/>
        <w:jc w:val="center"/>
      </w:pPr>
      <w:r>
        <w:rPr>
          <w:rFonts w:ascii="Calibri" w:cs="Calibri" w:eastAsia="Calibri" w:hAnsi="Calibri"/>
          <w:b/>
          <w:bCs/>
          <w:color w:val="9B3A1C"/>
          <w:sz w:val="28"/>
          <w:szCs w:val="28"/>
        </w:rPr>
        <w:t xml:space="preserve">Forge &amp; Flow</w:t>
      </w:r>
    </w:p>
    <w:p>
      <w:pPr>
        <w:spacing w:after="40"/>
        <w:jc w:val="center"/>
      </w:pPr>
      <w:r>
        <w:rPr>
          <w:rFonts w:ascii="Calibri" w:cs="Calibri" w:eastAsia="Calibri" w:hAnsi="Calibri"/>
          <w:color w:val="4A4A4A"/>
          <w:sz w:val="22"/>
          <w:szCs w:val="22"/>
        </w:rPr>
        <w:t xml:space="preserve">98296 Newfoundland &amp; Labrador Ltd.</w:t>
      </w:r>
    </w:p>
    <w:p>
      <w:pPr>
        <w:spacing w:after="240"/>
        <w:jc w:val="center"/>
      </w:pPr>
      <w:r>
        <w:rPr>
          <w:rFonts w:ascii="Calibri" w:cs="Calibri" w:eastAsia="Calibri" w:hAnsi="Calibri"/>
          <w:i/>
          <w:iCs/>
          <w:color w:val="7A7A7A"/>
          <w:sz w:val="20"/>
          <w:szCs w:val="20"/>
        </w:rPr>
        <w:t xml:space="preserve">April 2026</w:t>
      </w:r>
    </w:p>
    <w:p>
      <w:pPr>
        <w:pBdr>
          <w:bottom w:val="single" w:color="9B3A1C" w:sz="6" w:space="4"/>
        </w:pBdr>
        <w:spacing w:after="320" w:before="0"/>
      </w:pPr>
      <w:r>
        <w:rPr>
          <w:sz w:val="2"/>
          <w:szCs w:val="2"/>
        </w:rPr>
        <w:t xml:space="preserve"/>
      </w:r>
    </w:p>
    <w:p>
      <w:pPr>
        <w:pStyle w:val="Heading1"/>
      </w:pPr>
      <w:r>
        <w:rPr>
          <w:rFonts w:ascii="Calibri" w:cs="Calibri" w:eastAsia="Calibri" w:hAnsi="Calibri"/>
          <w:b/>
          <w:bCs/>
          <w:sz w:val="30"/>
          <w:szCs w:val="30"/>
        </w:rPr>
        <w:t xml:space="preserve">Portfolio Summary</w:t>
      </w:r>
    </w:p>
    <w:p>
      <w:pPr>
        <w:spacing w:after="160" w:before="0" w:line="300"/>
        <w:jc w:val="left"/>
      </w:pPr>
      <w:r>
        <w:rPr>
          <w:rFonts w:ascii="Calibri" w:cs="Calibri" w:eastAsia="Calibri" w:hAnsi="Calibri"/>
          <w:b w:val="false"/>
          <w:bCs w:val="false"/>
          <w:i w:val="false"/>
          <w:iCs w:val="false"/>
          <w:sz w:val="22"/>
          <w:szCs w:val="22"/>
        </w:rPr>
        <w:t xml:space="preserve">Forge &amp; Flow is a pre-launch SaaS company. Its material intellectual property at this stage is a combination of copyrighted software, proprietary know-how embedded as software, and pending brand protection. Specifically:</w:t>
      </w:r>
    </w:p>
    <w:p>
      <w:pPr>
        <w:pStyle w:val="ListParagraph"/>
        <w:numPr>
          <w:ilvl w:val="0"/>
          <w:numId w:val="2"/>
        </w:numPr>
        <w:spacing w:after="60" w:before="60" w:line="300"/>
      </w:pPr>
      <w:r>
        <w:rPr>
          <w:rFonts w:ascii="Calibri" w:cs="Calibri" w:eastAsia="Calibri" w:hAnsi="Calibri"/>
          <w:b/>
          <w:bCs/>
          <w:sz w:val="22"/>
          <w:szCs w:val="22"/>
        </w:rPr>
        <w:t xml:space="preserve">Patents issued: </w:t>
      </w:r>
      <w:r>
        <w:rPr>
          <w:rFonts w:ascii="Calibri" w:cs="Calibri" w:eastAsia="Calibri" w:hAnsi="Calibri"/>
          <w:sz w:val="22"/>
          <w:szCs w:val="22"/>
        </w:rPr>
        <w:t xml:space="preserve">None.</w:t>
      </w:r>
    </w:p>
    <w:p>
      <w:pPr>
        <w:pStyle w:val="ListParagraph"/>
        <w:numPr>
          <w:ilvl w:val="0"/>
          <w:numId w:val="2"/>
        </w:numPr>
        <w:spacing w:after="60" w:before="60" w:line="300"/>
      </w:pPr>
      <w:r>
        <w:rPr>
          <w:rFonts w:ascii="Calibri" w:cs="Calibri" w:eastAsia="Calibri" w:hAnsi="Calibri"/>
          <w:b/>
          <w:bCs/>
          <w:sz w:val="22"/>
          <w:szCs w:val="22"/>
        </w:rPr>
        <w:t xml:space="preserve">Patents pending: </w:t>
      </w:r>
      <w:r>
        <w:rPr>
          <w:rFonts w:ascii="Calibri" w:cs="Calibri" w:eastAsia="Calibri" w:hAnsi="Calibri"/>
          <w:sz w:val="22"/>
          <w:szCs w:val="22"/>
        </w:rPr>
        <w:t xml:space="preserve">None. The Company has evaluated patent protection and concluded that its competitive moat is better served by trade-secret and first-mover strategies than by filing software-method patents, which are costly, slow, and frequently challenged under current patentability standards in Canada and the United States.</w:t>
      </w:r>
    </w:p>
    <w:p>
      <w:pPr>
        <w:pStyle w:val="ListParagraph"/>
        <w:numPr>
          <w:ilvl w:val="0"/>
          <w:numId w:val="2"/>
        </w:numPr>
        <w:spacing w:after="60" w:before="60" w:line="300"/>
      </w:pPr>
      <w:r>
        <w:rPr>
          <w:rFonts w:ascii="Calibri" w:cs="Calibri" w:eastAsia="Calibri" w:hAnsi="Calibri"/>
          <w:b/>
          <w:bCs/>
          <w:sz w:val="22"/>
          <w:szCs w:val="22"/>
        </w:rPr>
        <w:t xml:space="preserve">Trademarks: </w:t>
      </w:r>
      <w:r>
        <w:rPr>
          <w:rFonts w:ascii="Calibri" w:cs="Calibri" w:eastAsia="Calibri" w:hAnsi="Calibri"/>
          <w:sz w:val="22"/>
          <w:szCs w:val="22"/>
        </w:rPr>
        <w:t xml:space="preserve">The Company has scoped and budgeted a filing of the "Forge &amp; Flow" word mark with the Canadian Intellectual Property Office (CIPO). The filing is in the pre-filing and preparation stage as of Q2 2026; retention of a Canadian IP firm, with Heer Law under consideration, is the next step.</w:t>
      </w:r>
    </w:p>
    <w:p>
      <w:pPr>
        <w:pStyle w:val="ListParagraph"/>
        <w:numPr>
          <w:ilvl w:val="0"/>
          <w:numId w:val="2"/>
        </w:numPr>
        <w:spacing w:after="60" w:before="60" w:line="300"/>
      </w:pPr>
      <w:r>
        <w:rPr>
          <w:rFonts w:ascii="Calibri" w:cs="Calibri" w:eastAsia="Calibri" w:hAnsi="Calibri"/>
          <w:b/>
          <w:bCs/>
          <w:sz w:val="22"/>
          <w:szCs w:val="22"/>
        </w:rPr>
        <w:t>Copyright: The Company owns, by operation of the Copyright Act, the entire source code of the Forge &amp; Flow mobile and backend application (Flutter and Dart front-end; Firebase Auth identity layer, Supabase Postgres data layer, and Google Cloud Run compute layer back-end), its user-interface designs, its founder-authored training and methodology content library, its marketing website, and all written collateral.</w:t>
      </w:r>
      <w:r>
        <w:rPr>
          <w:rFonts w:ascii="Calibri" w:cs="Calibri" w:eastAsia="Calibri" w:hAnsi="Calibri"/>
          <w:sz w:val="22"/>
          <w:szCs w:val="22"/>
        </w:rPr>
      </w:r>
    </w:p>
    <w:p>
      <w:pPr>
        <w:pStyle w:val="ListParagraph"/>
        <w:numPr>
          <w:ilvl w:val="0"/>
          <w:numId w:val="2"/>
        </w:numPr>
        <w:spacing w:after="60" w:before="60" w:line="300"/>
      </w:pPr>
      <w:r>
        <w:rPr>
          <w:rFonts w:ascii="Calibri" w:cs="Calibri" w:eastAsia="Calibri" w:hAnsi="Calibri"/>
          <w:b/>
          <w:bCs/>
          <w:sz w:val="22"/>
          <w:szCs w:val="22"/>
        </w:rPr>
        <w:t xml:space="preserve">Proprietary know-how and trade secrets: </w:t>
      </w:r>
      <w:r>
        <w:rPr>
          <w:rFonts w:ascii="Calibri" w:cs="Calibri" w:eastAsia="Calibri" w:hAnsi="Calibri"/>
          <w:sz w:val="22"/>
          <w:szCs w:val="22"/>
        </w:rPr>
        <w:t xml:space="preserve">The Company’s core competitive asset is its proprietary application architecture for restaurant operational analytics. This includes the 60-day standards-lock cycle, the runtime active-target projection, the separation of rolling demand forecasting from locked operating standards, the locked weekly-plan comparison model, the daypart pattern-evidence model, the recommended-benchmark selection statistics (including operating-performance-zone width thresholds and star-shift selection logic), and the connected knowledge-graph approach that powers the in-app advisor agent. These are held as trade secrets under internal access controls.</w:t>
      </w:r>
    </w:p>
    <w:p>
      <w:pPr>
        <w:pStyle w:val="ListParagraph"/>
        <w:numPr>
          <w:ilvl w:val="0"/>
          <w:numId w:val="2"/>
        </w:numPr>
        <w:spacing w:after="60" w:before="60" w:line="300"/>
      </w:pPr>
      <w:r>
        <w:rPr>
          <w:rFonts w:ascii="Calibri" w:cs="Calibri" w:eastAsia="Calibri" w:hAnsi="Calibri"/>
          <w:b/>
          <w:bCs/>
          <w:sz w:val="22"/>
          <w:szCs w:val="22"/>
        </w:rPr>
        <w:t xml:space="preserve">Domains and handles: </w:t>
      </w:r>
      <w:r>
        <w:rPr>
          <w:rFonts w:ascii="Calibri" w:cs="Calibri" w:eastAsia="Calibri" w:hAnsi="Calibri"/>
          <w:sz w:val="22"/>
          <w:szCs w:val="22"/>
        </w:rPr>
        <w:t xml:space="preserve">The Company holds or will secure relevant domain names and social handles for the Forge &amp; Flow brand.</w:t>
      </w:r>
    </w:p>
    <w:p>
      <w:pPr>
        <w:pStyle w:val="Heading1"/>
      </w:pPr>
      <w:r>
        <w:rPr>
          <w:rFonts w:ascii="Calibri" w:cs="Calibri" w:eastAsia="Calibri" w:hAnsi="Calibri"/>
          <w:b/>
          <w:bCs/>
          <w:sz w:val="30"/>
          <w:szCs w:val="30"/>
        </w:rPr>
        <w:t xml:space="preserve">IP Strategy</w:t>
      </w:r>
    </w:p>
    <w:p>
      <w:pPr>
        <w:spacing w:after="120" w:before="0" w:line="300"/>
        <w:jc w:val="left"/>
      </w:pPr>
      <w:r>
        <w:rPr>
          <w:rFonts w:ascii="Calibri" w:cs="Calibri" w:eastAsia="Calibri" w:hAnsi="Calibri"/>
          <w:b w:val="false"/>
          <w:bCs w:val="false"/>
          <w:i w:val="false"/>
          <w:iCs w:val="false"/>
          <w:sz w:val="22"/>
          <w:szCs w:val="22"/>
        </w:rPr>
        <w:t xml:space="preserve">The Company’s IP strategy rests on four pillars, supported by open-source compliance hygiene and a staged roadmap for future investment.</w:t>
      </w:r>
    </w:p>
    <w:p>
      <w:pPr>
        <w:pStyle w:val="Heading2"/>
      </w:pPr>
      <w:r>
        <w:rPr>
          <w:rFonts w:ascii="Calibri" w:cs="Calibri" w:eastAsia="Calibri" w:hAnsi="Calibri"/>
          <w:b/>
          <w:bCs/>
          <w:color w:val="9B3A1C"/>
          <w:sz w:val="24"/>
          <w:szCs w:val="24"/>
        </w:rPr>
        <w:t xml:space="preserve">1. Brand protection first</w:t>
      </w:r>
    </w:p>
    <w:p>
      <w:pPr>
        <w:spacing w:after="120" w:before="0" w:line="300"/>
        <w:jc w:val="left"/>
      </w:pPr>
      <w:r>
        <w:rPr>
          <w:rFonts w:ascii="Calibri" w:cs="Calibri" w:eastAsia="Calibri" w:hAnsi="Calibri"/>
          <w:b w:val="false"/>
          <w:bCs w:val="false"/>
          <w:i w:val="false"/>
          <w:iCs w:val="false"/>
          <w:sz w:val="22"/>
          <w:szCs w:val="22"/>
        </w:rPr>
        <w:t xml:space="preserve">Register the "Forge &amp; Flow" trademark in Canada, with expansion to the United States if and when pilot customers move cross-border. Protect associated domains, app-store identifiers, and social handles. Budget: approximately $3,000 for CIPO filing and agent fees (line item E14), plus ongoing renewal.</w:t>
      </w:r>
    </w:p>
    <w:p>
      <w:pPr>
        <w:pStyle w:val="Heading2"/>
      </w:pPr>
      <w:r>
        <w:rPr>
          <w:rFonts w:ascii="Calibri" w:cs="Calibri" w:eastAsia="Calibri" w:hAnsi="Calibri"/>
          <w:b/>
          <w:bCs/>
          <w:color w:val="9B3A1C"/>
          <w:sz w:val="24"/>
          <w:szCs w:val="24"/>
        </w:rPr>
        <w:t xml:space="preserve">2. Copyright hygiene and chain of title</w:t>
      </w:r>
    </w:p>
    <w:p>
      <w:pPr>
        <w:spacing w:after="120" w:before="0" w:line="300"/>
        <w:jc w:val="left"/>
      </w:pPr>
      <w:r>
        <w:rPr>
          <w:rFonts w:ascii="Calibri" w:cs="Calibri" w:eastAsia="Calibri" w:hAnsi="Calibri"/>
          <w:b w:val="false"/>
          <w:bCs w:val="false"/>
          <w:i w:val="false"/>
          <w:iCs w:val="false"/>
          <w:sz w:val="22"/>
          <w:szCs w:val="22"/>
        </w:rPr>
        <w:t xml:space="preserve">All source code, content, and design work, whether produced by founders, employees, or contracted engineers (budget lines E04 through E06, totalling $35,000), will be subject to written IP-assignment agreements in favour of the Company. Legal counsel is budgeted for contract drafting and IP-assignment execution (budget line E18, $5,000), including founder-to-company assignments so that all pre-incorporation development work is formally vested in the Company.</w:t>
      </w:r>
    </w:p>
    <w:p>
      <w:pPr>
        <w:pStyle w:val="Heading2"/>
      </w:pPr>
      <w:r>
        <w:rPr>
          <w:rFonts w:ascii="Calibri" w:cs="Calibri" w:eastAsia="Calibri" w:hAnsi="Calibri"/>
          <w:b/>
          <w:bCs/>
          <w:color w:val="9B3A1C"/>
          <w:sz w:val="24"/>
          <w:szCs w:val="24"/>
        </w:rPr>
        <w:t xml:space="preserve">3. Trade-secret protection over patent filing</w:t>
      </w:r>
    </w:p>
    <w:p>
      <w:pPr>
        <w:spacing w:after="120" w:before="0" w:line="300"/>
        <w:jc w:val="left"/>
      </w:pPr>
      <w:r>
        <w:rPr>
          <w:rFonts w:ascii="Calibri" w:cs="Calibri" w:eastAsia="Calibri" w:hAnsi="Calibri"/>
          <w:b w:val="false"/>
          <w:bCs w:val="false"/>
          <w:i w:val="false"/>
          <w:iCs w:val="false"/>
          <w:sz w:val="22"/>
          <w:szCs w:val="22"/>
        </w:rPr>
        <w:t xml:space="preserve">The Company relies on confidentiality agreements, role-based access controls to source and data, and a pre-launch third-party security audit (budget line E23, $6,500, Astra Pentest and Bulletproof Solutions) to protect its proprietary architecture and data-model logic. Patent filing is not planned in the current capital cycle because the Company’s architectural differentiators are better preserved as trade secrets and defended by execution speed than disclosed in patent publications.</w:t>
      </w:r>
    </w:p>
    <w:p>
      <w:pPr>
        <w:pStyle w:val="Heading2"/>
      </w:pPr>
      <w:r>
        <w:rPr>
          <w:rFonts w:ascii="Calibri" w:cs="Calibri" w:eastAsia="Calibri" w:hAnsi="Calibri"/>
          <w:b/>
          <w:bCs/>
          <w:color w:val="9B3A1C"/>
          <w:sz w:val="24"/>
          <w:szCs w:val="24"/>
        </w:rPr>
        <w:t xml:space="preserve">4. Data and customer-IP boundaries</w:t>
      </w:r>
    </w:p>
    <w:p>
      <w:pPr>
        <w:spacing w:after="120" w:before="0" w:line="300"/>
        <w:jc w:val="left"/>
      </w:pPr>
      <w:r>
        <w:rPr>
          <w:rFonts w:ascii="Calibri" w:cs="Calibri" w:eastAsia="Calibri" w:hAnsi="Calibri"/>
          <w:b w:val="false"/>
          <w:bCs w:val="false"/>
          <w:i w:val="false"/>
          <w:iCs w:val="false"/>
          <w:sz w:val="22"/>
          <w:szCs w:val="22"/>
        </w:rPr>
        <w:t xml:space="preserve">The Company’s terms of service reserve operator data to the operator, with per-location isolation at the database layer, while permitting the Company to retain anonymized and aggregated benchmark statistics to improve the product. This boundary is designed so that customer data never becomes a freedom-to-operate risk for the Company and customers never lose ownership of their own operating data.</w:t>
      </w:r>
    </w:p>
    <w:p>
      <w:pPr>
        <w:pStyle w:val="Heading2"/>
      </w:pPr>
      <w:r>
        <w:rPr>
          <w:rFonts w:ascii="Calibri" w:cs="Calibri" w:eastAsia="Calibri" w:hAnsi="Calibri"/>
          <w:b/>
          <w:bCs/>
          <w:color w:val="9B3A1C"/>
          <w:sz w:val="24"/>
          <w:szCs w:val="24"/>
        </w:rPr>
        <w:t xml:space="preserve">Open-source compliance</w:t>
      </w:r>
    </w:p>
    <w:p>
      <w:pPr>
        <w:spacing w:after="120" w:before="0" w:line="300"/>
        <w:jc w:val="left"/>
      </w:pPr>
      <w:r>
        <w:rPr>
          <w:rFonts w:ascii="Calibri" w:cs="Calibri" w:eastAsia="Calibri" w:hAnsi="Calibri"/>
          <w:b w:val="false"/>
          <w:bCs w:val="false"/>
          <w:i w:val="false"/>
          <w:iCs w:val="false"/>
          <w:sz w:val="22"/>
          <w:szCs w:val="22"/>
        </w:rPr>
        <w:t xml:space="preserve">The Company’s production stack uses permissively licensed open-source dependencies only (MIT, BSD, and Apache-2.0 families). No copyleft (GPL-family) licenses are used in the shipped product, so no third-party open-source license creates a disclosure or source-release obligation against the Company’s proprietary code.</w:t>
      </w:r>
    </w:p>
    <w:p>
      <w:pPr>
        <w:pStyle w:val="Heading2"/>
      </w:pPr>
      <w:r>
        <w:rPr>
          <w:rFonts w:ascii="Calibri" w:cs="Calibri" w:eastAsia="Calibri" w:hAnsi="Calibri"/>
          <w:b/>
          <w:bCs/>
          <w:color w:val="9B3A1C"/>
          <w:sz w:val="24"/>
          <w:szCs w:val="24"/>
        </w:rPr>
        <w:t xml:space="preserve">Future IP investment</w:t>
      </w:r>
    </w:p>
    <w:p>
      <w:pPr>
        <w:spacing w:after="120" w:before="0" w:line="300"/>
        <w:jc w:val="left"/>
      </w:pPr>
      <w:r>
        <w:rPr>
          <w:rFonts w:ascii="Calibri" w:cs="Calibri" w:eastAsia="Calibri" w:hAnsi="Calibri"/>
          <w:b w:val="false"/>
          <w:bCs w:val="false"/>
          <w:i w:val="false"/>
          <w:iCs w:val="false"/>
          <w:sz w:val="22"/>
          <w:szCs w:val="22"/>
        </w:rPr>
        <w:t xml:space="preserve">Future IP investment will track product maturity: additional trademark classes and jurisdictions as the Company expands, targeted registered-design or utility filings only where a specific, defensible, non-abstract invention emerges from the product roadmap, and continued hardening of the contractor and employee IP-assignment stack as headcount grows.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1C1C"/>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9B3A1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Portfolio and Strategy</dc:title>
  <dc:creator>Forge &amp; Flow</dc:creator>
  <cp:lastModifiedBy>Un-named</cp:lastModifiedBy>
  <cp:revision>1</cp:revision>
  <dcterms:created xsi:type="dcterms:W3CDTF">2026-04-22T16:46:55.080Z</dcterms:created>
  <dcterms:modified xsi:type="dcterms:W3CDTF">2026-04-22T16:46:55.080Z</dcterms:modified>
</cp:coreProperties>
</file>

<file path=docProps/custom.xml><?xml version="1.0" encoding="utf-8"?>
<Properties xmlns="http://schemas.openxmlformats.org/officeDocument/2006/custom-properties" xmlns:vt="http://schemas.openxmlformats.org/officeDocument/2006/docPropsVTypes"/>
</file>