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header3.xml" ContentType="application/vnd.openxmlformats-officedocument.wordprocessingml.header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document.xml" ContentType="application/vnd.openxmlformats-officedocument.wordprocessingml.document.main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rPr/>
      </w:pPr>
      <w:r>
        <w:rPr>
          <w:color w:val="1F3A68"/>
        </w:rPr>
        <w:t>Forge &amp; Flow Pre-Closing Capitalization Table</w:t>
      </w:r>
    </w:p>
    <w:p>
      <w:pPr>
        <w:pStyle w:val="Normal"/>
        <w:rPr/>
      </w:pPr>
      <w:r>
        <w:rPr>
          <w:i/>
        </w:rPr>
        <w:t xml:space="preserve">98296 Newfoundland &amp; Labrador Ltd.  </w:t>
      </w:r>
    </w:p>
    <w:p>
      <w:pPr>
        <w:pStyle w:val="Heading1"/>
        <w:rPr/>
      </w:pPr>
      <w:r>
        <w:rPr>
          <w:color w:val="1F3A68"/>
        </w:rPr>
        <w:t>1. Issuer and Date</w:t>
      </w:r>
    </w:p>
    <w:p>
      <w:pPr>
        <w:pStyle w:val="ListBullet"/>
        <w:numPr>
          <w:ilvl w:val="0"/>
          <w:numId w:val="1"/>
        </w:numPr>
        <w:rPr/>
      </w:pPr>
      <w:r>
        <w:rPr/>
        <w:t>Legal entity: 98296 Newfoundland &amp; Labrador Ltd.</w:t>
      </w:r>
    </w:p>
    <w:p>
      <w:pPr>
        <w:pStyle w:val="ListBullet"/>
        <w:numPr>
          <w:ilvl w:val="0"/>
          <w:numId w:val="1"/>
        </w:numPr>
        <w:rPr/>
      </w:pPr>
      <w:r>
        <w:rPr/>
        <w:t>Stage: Forge &amp; Flow is a pre-launch SaaS company.</w:t>
      </w:r>
    </w:p>
    <w:p>
      <w:pPr>
        <w:pStyle w:val="ListBullet"/>
        <w:numPr>
          <w:ilvl w:val="0"/>
          <w:numId w:val="1"/>
        </w:numPr>
        <w:rPr/>
      </w:pPr>
      <w:r>
        <w:rPr/>
        <w:t>Date: April 2026 (project budget snapshot prepared 2026-04-22).</w:t>
      </w:r>
    </w:p>
    <w:p>
      <w:pPr>
        <w:pStyle w:val="Heading1"/>
        <w:rPr/>
      </w:pPr>
      <w:r>
        <w:rPr>
          <w:color w:val="1F3A68"/>
        </w:rPr>
        <w:t>2. Securities and Holders</w:t>
      </w:r>
    </w:p>
    <w:tbl>
      <w:tblPr>
        <w:tblStyle w:val="LightGrid-Accent1"/>
        <w:tblW w:w="9972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noVBand="1" w:lastRow="0" w:firstColumn="1" w:lastColumn="0" w:noHBand="0" w:val="04a0"/>
      </w:tblPr>
      <w:tblGrid>
        <w:gridCol w:w="1662"/>
        <w:gridCol w:w="1661"/>
        <w:gridCol w:w="1663"/>
        <w:gridCol w:w="1662"/>
        <w:gridCol w:w="1661"/>
        <w:gridCol w:w="1663"/>
      </w:tblGrid>
      <w:tr>
        <w:trPr/>
        <w:tc>
          <w:tcPr>
            <w:tcW w:w="1662" w:type="dxa"/>
            <w:tcBorders>
              <w:bottom w:val="single" w:sz="18" w:space="0" w:color="4F81BD"/>
            </w:tcBorders>
            <w:shd w:color="auto" w:fill="1F3A68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color w:val="FFFFFF"/>
                <w:kern w:val="0"/>
                <w:sz w:val="20"/>
                <w:szCs w:val="22"/>
                <w:lang w:val="en-US" w:eastAsia="en-US" w:bidi="ar-SA"/>
              </w:rPr>
              <w:t>Holder</w:t>
            </w:r>
          </w:p>
        </w:tc>
        <w:tc>
          <w:tcPr>
            <w:tcW w:w="1661" w:type="dxa"/>
            <w:tcBorders>
              <w:bottom w:val="single" w:sz="18" w:space="0" w:color="4F81BD"/>
            </w:tcBorders>
            <w:shd w:color="auto" w:fill="1F3A68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color w:val="FFFFFF"/>
                <w:kern w:val="0"/>
                <w:sz w:val="20"/>
                <w:szCs w:val="22"/>
                <w:lang w:val="en-US" w:eastAsia="en-US" w:bidi="ar-SA"/>
              </w:rPr>
              <w:t>Type</w:t>
            </w:r>
          </w:p>
        </w:tc>
        <w:tc>
          <w:tcPr>
            <w:tcW w:w="1663" w:type="dxa"/>
            <w:tcBorders>
              <w:bottom w:val="single" w:sz="18" w:space="0" w:color="4F81BD"/>
            </w:tcBorders>
            <w:shd w:color="auto" w:fill="1F3A68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color w:val="FFFFFF"/>
                <w:kern w:val="0"/>
                <w:sz w:val="20"/>
                <w:szCs w:val="22"/>
                <w:lang w:val="en-US" w:eastAsia="en-US" w:bidi="ar-SA"/>
              </w:rPr>
              <w:t>Issue Date</w:t>
            </w:r>
          </w:p>
        </w:tc>
        <w:tc>
          <w:tcPr>
            <w:tcW w:w="1662" w:type="dxa"/>
            <w:tcBorders>
              <w:bottom w:val="single" w:sz="18" w:space="0" w:color="4F81BD"/>
            </w:tcBorders>
            <w:shd w:color="auto" w:fill="1F3A68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color w:val="FFFFFF"/>
                <w:kern w:val="0"/>
                <w:sz w:val="20"/>
                <w:szCs w:val="22"/>
                <w:lang w:val="en-US" w:eastAsia="en-US" w:bidi="ar-SA"/>
              </w:rPr>
              <w:t>Vesting</w:t>
            </w:r>
          </w:p>
        </w:tc>
        <w:tc>
          <w:tcPr>
            <w:tcW w:w="1661" w:type="dxa"/>
            <w:tcBorders>
              <w:bottom w:val="single" w:sz="18" w:space="0" w:color="4F81BD"/>
            </w:tcBorders>
            <w:shd w:color="auto" w:fill="1F3A68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color w:val="FFFFFF"/>
                <w:kern w:val="0"/>
                <w:sz w:val="20"/>
                <w:szCs w:val="22"/>
                <w:lang w:val="en-US" w:eastAsia="en-US" w:bidi="ar-SA"/>
              </w:rPr>
              <w:t># Held</w:t>
            </w:r>
          </w:p>
        </w:tc>
        <w:tc>
          <w:tcPr>
            <w:tcW w:w="1663" w:type="dxa"/>
            <w:tcBorders>
              <w:bottom w:val="single" w:sz="18" w:space="0" w:color="4F81BD"/>
            </w:tcBorders>
            <w:shd w:color="auto" w:fill="1F3A68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color w:val="FFFFFF"/>
                <w:kern w:val="0"/>
                <w:sz w:val="20"/>
                <w:szCs w:val="22"/>
                <w:lang w:val="en-US" w:eastAsia="en-US" w:bidi="ar-SA"/>
              </w:rPr>
              <w:t>Price / Amount</w:t>
            </w:r>
          </w:p>
        </w:tc>
      </w:tr>
      <w:tr>
        <w:trPr/>
        <w:tc>
          <w:tcPr>
            <w:tcW w:w="1662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 w:val="20"/>
                <w:szCs w:val="22"/>
                <w:lang w:val="en-US" w:eastAsia="en-US" w:bidi="ar-SA"/>
              </w:rPr>
              <w:t>Said Khan (Owner/Software Architect)</w:t>
            </w:r>
          </w:p>
        </w:tc>
        <w:tc>
          <w:tcPr>
            <w:tcW w:w="1661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Common</w:t>
            </w:r>
          </w:p>
        </w:tc>
        <w:tc>
          <w:tcPr>
            <w:tcW w:w="1663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Not specified</w:t>
            </w:r>
          </w:p>
        </w:tc>
        <w:tc>
          <w:tcPr>
            <w:tcW w:w="1662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Not specified</w:t>
            </w:r>
          </w:p>
        </w:tc>
        <w:tc>
          <w:tcPr>
            <w:tcW w:w="1661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Not specified</w:t>
            </w:r>
          </w:p>
        </w:tc>
        <w:tc>
          <w:tcPr>
            <w:tcW w:w="1663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Not specified</w:t>
            </w:r>
          </w:p>
        </w:tc>
      </w:tr>
      <w:tr>
        <w:trPr/>
        <w:tc>
          <w:tcPr>
            <w:tcW w:w="166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 w:val="20"/>
                <w:szCs w:val="22"/>
                <w:lang w:val="en-US" w:eastAsia="en-US" w:bidi="ar-SA"/>
              </w:rPr>
              <w:t>Vanessa Gallegos Venegas (Owner/Business Development)</w:t>
            </w:r>
          </w:p>
        </w:tc>
        <w:tc>
          <w:tcPr>
            <w:tcW w:w="166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Common</w:t>
            </w:r>
          </w:p>
        </w:tc>
        <w:tc>
          <w:tcPr>
            <w:tcW w:w="166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Not specified</w:t>
            </w:r>
          </w:p>
        </w:tc>
        <w:tc>
          <w:tcPr>
            <w:tcW w:w="166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Not specified</w:t>
            </w:r>
          </w:p>
        </w:tc>
        <w:tc>
          <w:tcPr>
            <w:tcW w:w="166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Not specified</w:t>
            </w:r>
          </w:p>
        </w:tc>
        <w:tc>
          <w:tcPr>
            <w:tcW w:w="166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Not specified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/>
        <w:t>The two Owner-titled individuals above are the only equity-holder roles named in the source documents. Founder IP chain of title is established via founder-to-company assignments so that all pre-incorporation development work is formally vested in the Company.</w:t>
      </w:r>
    </w:p>
    <w:p>
      <w:pPr>
        <w:pStyle w:val="Heading1"/>
        <w:rPr/>
      </w:pPr>
      <w:r>
        <w:rPr>
          <w:color w:val="1F3A68"/>
        </w:rPr>
        <w:t>3. Authorized, Issued, Options, Convertibles, Valuation, Ownership, Approvals</w:t>
      </w:r>
    </w:p>
    <w:tbl>
      <w:tblPr>
        <w:tblStyle w:val="LightGrid-Accent1"/>
        <w:tblW w:w="9972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noVBand="1" w:lastRow="0" w:firstColumn="1" w:lastColumn="0" w:noHBand="0" w:val="04a0"/>
      </w:tblPr>
      <w:tblGrid>
        <w:gridCol w:w="4986"/>
        <w:gridCol w:w="4986"/>
      </w:tblGrid>
      <w:tr>
        <w:trPr/>
        <w:tc>
          <w:tcPr>
            <w:tcW w:w="4986" w:type="dxa"/>
            <w:tcBorders>
              <w:bottom w:val="single" w:sz="18" w:space="0" w:color="4F81BD"/>
            </w:tcBorders>
            <w:shd w:color="auto" w:fill="1F3A68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color w:val="FFFFFF"/>
                <w:kern w:val="0"/>
                <w:sz w:val="20"/>
                <w:szCs w:val="22"/>
                <w:lang w:val="en-US" w:eastAsia="en-US" w:bidi="ar-SA"/>
              </w:rPr>
              <w:t>Item</w:t>
            </w:r>
          </w:p>
        </w:tc>
        <w:tc>
          <w:tcPr>
            <w:tcW w:w="4986" w:type="dxa"/>
            <w:tcBorders>
              <w:bottom w:val="single" w:sz="18" w:space="0" w:color="4F81BD"/>
            </w:tcBorders>
            <w:shd w:color="auto" w:fill="1F3A68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color w:val="FFFFFF"/>
                <w:kern w:val="0"/>
                <w:sz w:val="20"/>
                <w:szCs w:val="22"/>
                <w:lang w:val="en-US" w:eastAsia="en-US" w:bidi="ar-SA"/>
              </w:rPr>
              <w:t>Status</w:t>
            </w:r>
          </w:p>
        </w:tc>
      </w:tr>
      <w:tr>
        <w:trPr/>
        <w:tc>
          <w:tcPr>
            <w:tcW w:w="4986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 w:val="20"/>
                <w:szCs w:val="22"/>
                <w:lang w:val="en-US" w:eastAsia="en-US" w:bidi="ar-SA"/>
              </w:rPr>
              <w:t>Total authorized shares (per class / series)</w:t>
            </w:r>
          </w:p>
        </w:tc>
        <w:tc>
          <w:tcPr>
            <w:tcW w:w="4986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Not specified in source documents.</w:t>
            </w:r>
          </w:p>
        </w:tc>
      </w:tr>
      <w:tr>
        <w:trPr/>
        <w:tc>
          <w:tcPr>
            <w:tcW w:w="498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 w:val="20"/>
                <w:szCs w:val="22"/>
                <w:lang w:val="en-US" w:eastAsia="en-US" w:bidi="ar-SA"/>
              </w:rPr>
              <w:t>Total issued and outstanding (basic and fully diluted)</w:t>
            </w:r>
          </w:p>
        </w:tc>
        <w:tc>
          <w:tcPr>
            <w:tcW w:w="498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Not specified in source documents.</w:t>
            </w:r>
          </w:p>
        </w:tc>
      </w:tr>
      <w:tr>
        <w:trPr/>
        <w:tc>
          <w:tcPr>
            <w:tcW w:w="4986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 w:val="20"/>
                <w:szCs w:val="22"/>
                <w:lang w:val="en-US" w:eastAsia="en-US" w:bidi="ar-SA"/>
              </w:rPr>
              <w:t>Options reserved pool</w:t>
            </w:r>
          </w:p>
        </w:tc>
        <w:tc>
          <w:tcPr>
            <w:tcW w:w="4986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No employee or director option pool is referenced in the source documents.</w:t>
            </w:r>
          </w:p>
        </w:tc>
      </w:tr>
      <w:tr>
        <w:trPr/>
        <w:tc>
          <w:tcPr>
            <w:tcW w:w="498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 w:val="20"/>
                <w:szCs w:val="22"/>
                <w:lang w:val="en-US" w:eastAsia="en-US" w:bidi="ar-SA"/>
              </w:rPr>
              <w:t>Convertible securities outstanding</w:t>
            </w:r>
          </w:p>
        </w:tc>
        <w:tc>
          <w:tcPr>
            <w:tcW w:w="498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None referenced in source documents.</w:t>
            </w:r>
          </w:p>
        </w:tc>
      </w:tr>
      <w:tr>
        <w:trPr/>
        <w:tc>
          <w:tcPr>
            <w:tcW w:w="4986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 w:val="20"/>
                <w:szCs w:val="22"/>
                <w:lang w:val="en-US" w:eastAsia="en-US" w:bidi="ar-SA"/>
              </w:rPr>
              <w:t>Convertible securities under exploration</w:t>
            </w:r>
          </w:p>
        </w:tc>
        <w:tc>
          <w:tcPr>
            <w:tcW w:w="4986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Nventure thriveFORWARD (convertible note, pre-seed / seed); status In Progress.</w:t>
            </w:r>
          </w:p>
        </w:tc>
      </w:tr>
      <w:tr>
        <w:trPr/>
        <w:tc>
          <w:tcPr>
            <w:tcW w:w="498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 w:val="20"/>
                <w:szCs w:val="22"/>
                <w:lang w:val="en-US" w:eastAsia="en-US" w:bidi="ar-SA"/>
              </w:rPr>
              <w:t>Conversion formulas and mechanisms</w:t>
            </w:r>
          </w:p>
        </w:tc>
        <w:tc>
          <w:tcPr>
            <w:tcW w:w="498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Not specified in source documents.</w:t>
            </w:r>
          </w:p>
        </w:tc>
      </w:tr>
      <w:tr>
        <w:trPr/>
        <w:tc>
          <w:tcPr>
            <w:tcW w:w="4986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 w:val="20"/>
                <w:szCs w:val="22"/>
                <w:lang w:val="en-US" w:eastAsia="en-US" w:bidi="ar-SA"/>
              </w:rPr>
              <w:t>Pre-money / post-money valuation</w:t>
            </w:r>
          </w:p>
        </w:tc>
        <w:tc>
          <w:tcPr>
            <w:tcW w:w="4986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Not specified in source documents. Per Osler: valuation becomes a subject of negotiation between the company and the investors.</w:t>
            </w:r>
          </w:p>
        </w:tc>
      </w:tr>
      <w:tr>
        <w:trPr/>
        <w:tc>
          <w:tcPr>
            <w:tcW w:w="498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 w:val="20"/>
                <w:szCs w:val="22"/>
                <w:lang w:val="en-US" w:eastAsia="en-US" w:bidi="ar-SA"/>
              </w:rPr>
              <w:t>Ownership, control, voting, participation %</w:t>
            </w:r>
          </w:p>
        </w:tc>
        <w:tc>
          <w:tcPr>
            <w:tcW w:w="498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Not specified in source documents (derived from securities held and total outstanding once populated).</w:t>
            </w:r>
          </w:p>
        </w:tc>
      </w:tr>
      <w:tr>
        <w:trPr>
          <w:trHeight w:val="579" w:hRule="atLeast"/>
        </w:trPr>
        <w:tc>
          <w:tcPr>
            <w:tcW w:w="4986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 w:val="20"/>
                <w:szCs w:val="22"/>
                <w:lang w:val="en-US" w:eastAsia="en-US" w:bidi="ar-SA"/>
              </w:rPr>
              <w:t>Approval thresholds and proxy participation</w:t>
            </w:r>
          </w:p>
        </w:tc>
        <w:tc>
          <w:tcPr>
            <w:tcW w:w="4986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Not specified in source documents (no shareholders' agreement or articles language quoted in the corpus).</w:t>
            </w:r>
          </w:p>
        </w:tc>
      </w:tr>
    </w:tbl>
    <w:p>
      <w:pPr>
        <w:pStyle w:val="Heading1"/>
        <w:rPr>
          <w:color w:val="1F3A68"/>
        </w:rPr>
      </w:pPr>
      <w:r>
        <w:rPr>
          <w:color w:val="1F3A68"/>
        </w:rPr>
      </w:r>
    </w:p>
    <w:p>
      <w:pPr>
        <w:pStyle w:val="Heading1"/>
        <w:rPr>
          <w:color w:val="1F3A68"/>
        </w:rPr>
      </w:pPr>
      <w:r>
        <w:rPr>
          <w:color w:val="1F3A68"/>
        </w:rPr>
        <w:t>4. Sources of Funds (Contemplated)</w:t>
      </w:r>
    </w:p>
    <w:tbl>
      <w:tblPr>
        <w:tblStyle w:val="LightGrid-Accent1"/>
        <w:tblW w:w="9972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noVBand="1" w:lastRow="0" w:firstColumn="1" w:lastColumn="0" w:noHBand="0" w:val="04a0"/>
      </w:tblPr>
      <w:tblGrid>
        <w:gridCol w:w="4986"/>
        <w:gridCol w:w="4986"/>
      </w:tblGrid>
      <w:tr>
        <w:trPr/>
        <w:tc>
          <w:tcPr>
            <w:tcW w:w="4986" w:type="dxa"/>
            <w:tcBorders>
              <w:bottom w:val="single" w:sz="18" w:space="0" w:color="4F81BD"/>
            </w:tcBorders>
            <w:shd w:color="auto" w:fill="1F3A68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color w:val="FFFFFF"/>
                <w:kern w:val="0"/>
                <w:sz w:val="20"/>
                <w:szCs w:val="22"/>
                <w:lang w:val="en-US" w:eastAsia="en-US" w:bidi="ar-SA"/>
              </w:rPr>
              <w:t>Source</w:t>
            </w:r>
          </w:p>
        </w:tc>
        <w:tc>
          <w:tcPr>
            <w:tcW w:w="4986" w:type="dxa"/>
            <w:tcBorders>
              <w:bottom w:val="single" w:sz="18" w:space="0" w:color="4F81BD"/>
            </w:tcBorders>
            <w:shd w:color="auto" w:fill="1F3A68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color w:val="FFFFFF"/>
                <w:kern w:val="0"/>
                <w:sz w:val="20"/>
                <w:szCs w:val="22"/>
                <w:lang w:val="en-US" w:eastAsia="en-US" w:bidi="ar-SA"/>
              </w:rPr>
              <w:t>Amount (CAD)</w:t>
            </w:r>
          </w:p>
        </w:tc>
      </w:tr>
      <w:tr>
        <w:trPr/>
        <w:tc>
          <w:tcPr>
            <w:tcW w:w="4986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 w:val="20"/>
                <w:szCs w:val="22"/>
                <w:lang w:val="en-US" w:eastAsia="en-US" w:bidi="ar-SA"/>
              </w:rPr>
              <w:t>Bank Term Loan</w:t>
            </w:r>
          </w:p>
        </w:tc>
        <w:tc>
          <w:tcPr>
            <w:tcW w:w="4986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20</w:t>
            </w: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5</w:t>
            </w: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,000</w:t>
            </w:r>
          </w:p>
        </w:tc>
      </w:tr>
      <w:tr>
        <w:trPr/>
        <w:tc>
          <w:tcPr>
            <w:tcW w:w="498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 w:val="20"/>
                <w:szCs w:val="22"/>
                <w:lang w:val="en-US" w:eastAsia="en-US" w:bidi="ar-SA"/>
              </w:rPr>
              <w:t>Owner Contribution</w:t>
            </w:r>
          </w:p>
        </w:tc>
        <w:tc>
          <w:tcPr>
            <w:tcW w:w="498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60,000</w:t>
            </w:r>
          </w:p>
        </w:tc>
      </w:tr>
      <w:tr>
        <w:trPr/>
        <w:tc>
          <w:tcPr>
            <w:tcW w:w="4986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 w:val="20"/>
                <w:szCs w:val="22"/>
                <w:lang w:val="en-US" w:eastAsia="en-US" w:bidi="ar-SA"/>
              </w:rPr>
              <w:t>Existing Line of Credit</w:t>
            </w:r>
          </w:p>
        </w:tc>
        <w:tc>
          <w:tcPr>
            <w:tcW w:w="4986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30,000</w:t>
            </w:r>
          </w:p>
        </w:tc>
      </w:tr>
      <w:tr>
        <w:trPr/>
        <w:tc>
          <w:tcPr>
            <w:tcW w:w="498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 w:val="20"/>
                <w:szCs w:val="22"/>
                <w:lang w:val="en-US" w:eastAsia="en-US" w:bidi="ar-SA"/>
              </w:rPr>
              <w:t>TOTAL SOURCES</w:t>
            </w:r>
          </w:p>
        </w:tc>
        <w:tc>
          <w:tcPr>
            <w:tcW w:w="498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290,000</w:t>
            </w:r>
          </w:p>
        </w:tc>
      </w:tr>
    </w:tbl>
    <w:p>
      <w:pPr>
        <w:pStyle w:val="Normal"/>
        <w:rPr/>
      </w:pPr>
      <w:r>
        <w:rPr/>
      </w:r>
    </w:p>
    <w:p>
      <w:pPr>
        <w:pStyle w:val="Heading1"/>
        <w:rPr/>
      </w:pPr>
      <w:r>
        <w:rPr>
          <w:color w:val="1F3A68"/>
        </w:rPr>
        <w:t>5. Prospective External Capital Sources Tracked</w:t>
      </w:r>
    </w:p>
    <w:tbl>
      <w:tblPr>
        <w:tblStyle w:val="LightGrid-Accent1"/>
        <w:tblW w:w="9972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noVBand="1" w:lastRow="0" w:firstColumn="1" w:lastColumn="0" w:noHBand="0" w:val="04a0"/>
      </w:tblPr>
      <w:tblGrid>
        <w:gridCol w:w="4986"/>
        <w:gridCol w:w="4986"/>
      </w:tblGrid>
      <w:tr>
        <w:trPr/>
        <w:tc>
          <w:tcPr>
            <w:tcW w:w="4986" w:type="dxa"/>
            <w:tcBorders>
              <w:bottom w:val="single" w:sz="18" w:space="0" w:color="4F81BD"/>
            </w:tcBorders>
            <w:shd w:color="auto" w:fill="1F3A68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color w:val="FFFFFF"/>
                <w:kern w:val="0"/>
                <w:sz w:val="20"/>
                <w:szCs w:val="22"/>
                <w:lang w:val="en-US" w:eastAsia="en-US" w:bidi="ar-SA"/>
              </w:rPr>
              <w:t>Category</w:t>
            </w:r>
          </w:p>
        </w:tc>
        <w:tc>
          <w:tcPr>
            <w:tcW w:w="4986" w:type="dxa"/>
            <w:tcBorders>
              <w:bottom w:val="single" w:sz="18" w:space="0" w:color="4F81BD"/>
            </w:tcBorders>
            <w:shd w:color="auto" w:fill="1F3A68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color w:val="FFFFFF"/>
                <w:kern w:val="0"/>
                <w:sz w:val="20"/>
                <w:szCs w:val="22"/>
                <w:lang w:val="en-US" w:eastAsia="en-US" w:bidi="ar-SA"/>
              </w:rPr>
              <w:t>Sources</w:t>
            </w:r>
          </w:p>
        </w:tc>
      </w:tr>
      <w:tr>
        <w:trPr/>
        <w:tc>
          <w:tcPr>
            <w:tcW w:w="4986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 w:val="20"/>
                <w:szCs w:val="22"/>
                <w:lang w:val="en-US" w:eastAsia="en-US" w:bidi="ar-SA"/>
              </w:rPr>
              <w:t>Grants &amp; Tax Credits</w:t>
            </w:r>
          </w:p>
        </w:tc>
        <w:tc>
          <w:tcPr>
            <w:tcW w:w="4986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18</w:t>
            </w:r>
          </w:p>
        </w:tc>
      </w:tr>
      <w:tr>
        <w:trPr/>
        <w:tc>
          <w:tcPr>
            <w:tcW w:w="498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 w:val="20"/>
                <w:szCs w:val="22"/>
                <w:lang w:val="en-US" w:eastAsia="en-US" w:bidi="ar-SA"/>
              </w:rPr>
              <w:t>Loans &amp; Debt</w:t>
            </w:r>
          </w:p>
        </w:tc>
        <w:tc>
          <w:tcPr>
            <w:tcW w:w="498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9</w:t>
            </w:r>
          </w:p>
        </w:tc>
      </w:tr>
      <w:tr>
        <w:trPr/>
        <w:tc>
          <w:tcPr>
            <w:tcW w:w="4986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 w:val="20"/>
                <w:szCs w:val="22"/>
                <w:lang w:val="en-US" w:eastAsia="en-US" w:bidi="ar-SA"/>
              </w:rPr>
              <w:t>Angel Networks</w:t>
            </w:r>
          </w:p>
        </w:tc>
        <w:tc>
          <w:tcPr>
            <w:tcW w:w="4986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7</w:t>
            </w:r>
          </w:p>
        </w:tc>
      </w:tr>
      <w:tr>
        <w:trPr/>
        <w:tc>
          <w:tcPr>
            <w:tcW w:w="498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 w:val="20"/>
                <w:szCs w:val="22"/>
                <w:lang w:val="en-US" w:eastAsia="en-US" w:bidi="ar-SA"/>
              </w:rPr>
              <w:t>Venture Capital</w:t>
            </w:r>
          </w:p>
        </w:tc>
        <w:tc>
          <w:tcPr>
            <w:tcW w:w="498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17</w:t>
            </w:r>
          </w:p>
        </w:tc>
      </w:tr>
      <w:tr>
        <w:trPr/>
        <w:tc>
          <w:tcPr>
            <w:tcW w:w="4986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 w:val="20"/>
                <w:szCs w:val="22"/>
                <w:lang w:val="en-US" w:eastAsia="en-US" w:bidi="ar-SA"/>
              </w:rPr>
              <w:t>Startup Programs</w:t>
            </w:r>
          </w:p>
        </w:tc>
        <w:tc>
          <w:tcPr>
            <w:tcW w:w="4986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9</w:t>
            </w:r>
          </w:p>
        </w:tc>
      </w:tr>
      <w:tr>
        <w:trPr/>
        <w:tc>
          <w:tcPr>
            <w:tcW w:w="498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 w:val="20"/>
                <w:szCs w:val="22"/>
                <w:lang w:val="en-US" w:eastAsia="en-US" w:bidi="ar-SA"/>
              </w:rPr>
              <w:t>Industry &amp; Other</w:t>
            </w:r>
          </w:p>
        </w:tc>
        <w:tc>
          <w:tcPr>
            <w:tcW w:w="498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6</w:t>
            </w:r>
          </w:p>
        </w:tc>
      </w:tr>
      <w:tr>
        <w:trPr/>
        <w:tc>
          <w:tcPr>
            <w:tcW w:w="4986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 w:val="20"/>
                <w:szCs w:val="22"/>
                <w:lang w:val="en-US" w:eastAsia="en-US" w:bidi="ar-SA"/>
              </w:rPr>
              <w:t>Atlantic Canada &amp; Newfoundland</w:t>
            </w:r>
          </w:p>
        </w:tc>
        <w:tc>
          <w:tcPr>
            <w:tcW w:w="4986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16</w:t>
            </w:r>
          </w:p>
        </w:tc>
      </w:tr>
      <w:tr>
        <w:trPr/>
        <w:tc>
          <w:tcPr>
            <w:tcW w:w="498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 w:val="20"/>
                <w:szCs w:val="22"/>
                <w:lang w:val="en-US" w:eastAsia="en-US" w:bidi="ar-SA"/>
              </w:rPr>
              <w:t>TOTAL</w:t>
            </w:r>
          </w:p>
        </w:tc>
        <w:tc>
          <w:tcPr>
            <w:tcW w:w="498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82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widowControl/>
        <w:bidi w:val="0"/>
        <w:spacing w:lineRule="auto" w:line="276" w:before="0" w:after="200"/>
        <w:jc w:val="start"/>
        <w:rPr/>
      </w:pPr>
      <w:r>
        <w:rPr/>
        <w:t>VERY HIGH priority items currently progressed: WEOC Loan Fund (Submitted); NLOWE (Reached Out); Canada Small Business Financing Program (In Progress); Nventure thriveFORWARD (In Progress).</w:t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2240" w:h="15840"/>
      <w:pgMar w:left="1134" w:right="1134" w:gutter="0" w:header="720" w:top="1020" w:footer="720" w:bottom="102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Cambria">
    <w:charset w:val="00" w:characterSet="windows-1252"/>
    <w:family w:val="roman"/>
    <w:pitch w:val="variable"/>
  </w:font>
  <w:font w:name="Calibri">
    <w:charset w:val="00" w:characterSet="windows-1252"/>
    <w:family w:val="roman"/>
    <w:pitch w:val="variable"/>
  </w:font>
  <w:font w:name="Courier">
    <w:altName w:val="Courier New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360"/>
        </w:tabs>
        <w:ind w:star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1080"/>
        </w:tabs>
        <w:ind w:start="108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7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start"/>
    </w:pPr>
    <w:rPr>
      <w:rFonts w:ascii="Calibri" w:hAnsi="Calibri" w:eastAsia="ＭＳ 明朝" w:cs="" w:cstheme="minorBidi" w:eastAsiaTheme="minorEastAsia"/>
      <w:color w:val="auto"/>
      <w:kern w:val="0"/>
      <w:sz w:val="21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star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star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star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star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star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star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star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start="1080"/>
      <w:contextualSpacing/>
    </w:pPr>
    <w:rPr/>
  </w:style>
  <w:style w:type="paragraph" w:styleId="MacroText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star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start="936" w:end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numbering" Target="numbering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<Relationship Id="rId12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Application>LibreOffice/26.2.2.2$Windows_X86_64 LibreOffice_project/1f77d10d6938fd34972958f64b2bcfa54f8b1ba5</Application>
  <AppVersion>15.0000</AppVersion>
  <Pages>2</Pages>
  <Words>347</Words>
  <Characters>2124</Characters>
  <CharactersWithSpaces>2392</CharactersWithSpaces>
  <Paragraphs>78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en-CA</dc:language>
  <cp:lastModifiedBy/>
  <dcterms:modified xsi:type="dcterms:W3CDTF">2026-04-27T12:21:45Z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