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80"/>
        <w:jc w:val="center"/>
      </w:pPr>
      <w:r>
        <w:rPr>
          <w:b/>
          <w:color w:val="1A1A2E"/>
          <w:sz w:val="72"/>
        </w:rPr>
        <w:t>NodeAxis</w:t>
      </w:r>
    </w:p>
    <w:p>
      <w:pPr>
        <w:spacing w:before="0" w:after="800"/>
        <w:jc w:val="center"/>
      </w:pPr>
      <w:r>
        <w:rPr>
          <w:i/>
          <w:color w:val="4E9FFF"/>
          <w:sz w:val="26"/>
        </w:rPr>
        <w:t>Digital Agency  ·  Web &amp; Technology Solutions</w:t>
      </w:r>
    </w:p>
    <w:p>
      <w:pPr>
        <w:pBdr>
          <w:bottom w:val="single" w:sz="6" w:space="1" w:color="1A1A2E"/>
        </w:pBdr>
        <w:spacing w:before="0" w:after="0"/>
      </w:pPr>
    </w:p>
    <w:p/>
    <w:p>
      <w:pPr>
        <w:spacing w:before="280" w:after="120"/>
        <w:jc w:val="center"/>
      </w:pPr>
      <w:r>
        <w:rPr>
          <w:b/>
          <w:color w:val="1A1A2E"/>
          <w:sz w:val="48"/>
        </w:rPr>
        <w:t>Official User Documentation</w:t>
      </w:r>
    </w:p>
    <w:p>
      <w:pPr>
        <w:spacing w:before="0" w:after="120"/>
        <w:jc w:val="center"/>
      </w:pPr>
      <w:r>
        <w:rPr>
          <w:color w:val="646473"/>
          <w:sz w:val="26"/>
        </w:rPr>
        <w:t>NodeAxis Agency Website — End-User &amp; Administrator Guide</w:t>
      </w:r>
    </w:p>
    <w:p/>
    <w:p>
      <w:pPr>
        <w:pBdr>
          <w:bottom w:val="single" w:sz="6" w:space="1" w:color="1A1A2E"/>
        </w:pBdr>
        <w:spacing w:before="0" w:after="0"/>
      </w:pPr>
    </w:p>
    <w:p/>
    <w:tbl>
      <w:tblPr>
        <w:tblStyle w:val="TableGrid"/>
        <w:tblW w:type="auto" w:w="0"/>
        <w:jc w:val="center"/>
        <w:tblLook w:firstColumn="1" w:firstRow="1" w:lastColumn="0" w:lastRow="0" w:noHBand="0" w:noVBand="1" w:val="04A0"/>
      </w:tblPr>
      <w:tblGrid>
        <w:gridCol w:w="4419"/>
        <w:gridCol w:w="4419"/>
      </w:tblGrid>
      <w:tr>
        <w:tc>
          <w:tcPr>
            <w:tcW w:type="dxa" w:w="3168"/>
            <w:vAlign w:val="center"/>
          </w:tcPr>
          <w:p>
            <w:pPr>
              <w:spacing w:before="80" w:after="80"/>
              <w:ind w:left="120"/>
            </w:pPr>
            <w:r>
              <w:rPr>
                <w:b/>
                <w:color w:val="1A1A2E"/>
                <w:sz w:val="20"/>
              </w:rPr>
              <w:t>Document Title</w:t>
            </w:r>
          </w:p>
        </w:tc>
        <w:tc>
          <w:tcPr>
            <w:tcW w:type="dxa" w:w="5472"/>
            <w:vAlign w:val="center"/>
          </w:tcPr>
          <w:p>
            <w:pPr>
              <w:spacing w:before="80" w:after="80"/>
              <w:ind w:left="120"/>
            </w:pPr>
            <w:r>
              <w:rPr>
                <w:color w:val="141414"/>
                <w:sz w:val="20"/>
              </w:rPr>
              <w:t>NodeAxis Website — User Documentation</w:t>
            </w:r>
          </w:p>
        </w:tc>
      </w:tr>
      <w:tr>
        <w:tc>
          <w:tcPr>
            <w:tcW w:type="dxa" w:w="3168"/>
            <w:vAlign w:val="center"/>
          </w:tcPr>
          <w:p>
            <w:pPr>
              <w:spacing w:before="80" w:after="80"/>
              <w:ind w:left="120"/>
            </w:pPr>
            <w:r>
              <w:rPr>
                <w:b/>
                <w:color w:val="1A1A2E"/>
                <w:sz w:val="20"/>
              </w:rPr>
              <w:t>Version</w:t>
            </w:r>
          </w:p>
        </w:tc>
        <w:tc>
          <w:tcPr>
            <w:tcW w:type="dxa" w:w="5472"/>
            <w:vAlign w:val="center"/>
          </w:tcPr>
          <w:p>
            <w:pPr>
              <w:spacing w:before="80" w:after="80"/>
              <w:ind w:left="120"/>
            </w:pPr>
            <w:r>
              <w:rPr>
                <w:color w:val="141414"/>
                <w:sz w:val="20"/>
              </w:rPr>
              <w:t>1.0</w:t>
            </w:r>
          </w:p>
        </w:tc>
      </w:tr>
      <w:tr>
        <w:tc>
          <w:tcPr>
            <w:tcW w:type="dxa" w:w="3168"/>
            <w:vAlign w:val="center"/>
          </w:tcPr>
          <w:p>
            <w:pPr>
              <w:spacing w:before="80" w:after="80"/>
              <w:ind w:left="120"/>
            </w:pPr>
            <w:r>
              <w:rPr>
                <w:b/>
                <w:color w:val="1A1A2E"/>
                <w:sz w:val="20"/>
              </w:rPr>
              <w:t>Prepared by</w:t>
            </w:r>
          </w:p>
        </w:tc>
        <w:tc>
          <w:tcPr>
            <w:tcW w:type="dxa" w:w="5472"/>
            <w:vAlign w:val="center"/>
          </w:tcPr>
          <w:p>
            <w:pPr>
              <w:spacing w:before="80" w:after="80"/>
              <w:ind w:left="120"/>
            </w:pPr>
            <w:r>
              <w:rPr>
                <w:color w:val="141414"/>
                <w:sz w:val="20"/>
              </w:rPr>
              <w:t>NodeAxis — Internal Documentation Team</w:t>
            </w:r>
          </w:p>
        </w:tc>
      </w:tr>
      <w:tr>
        <w:tc>
          <w:tcPr>
            <w:tcW w:type="dxa" w:w="3168"/>
            <w:vAlign w:val="center"/>
          </w:tcPr>
          <w:p>
            <w:pPr>
              <w:spacing w:before="80" w:after="80"/>
              <w:ind w:left="120"/>
            </w:pPr>
            <w:r>
              <w:rPr>
                <w:b/>
                <w:color w:val="1A1A2E"/>
                <w:sz w:val="20"/>
              </w:rPr>
              <w:t>Date Issued</w:t>
            </w:r>
          </w:p>
        </w:tc>
        <w:tc>
          <w:tcPr>
            <w:tcW w:type="dxa" w:w="5472"/>
            <w:vAlign w:val="center"/>
          </w:tcPr>
          <w:p>
            <w:pPr>
              <w:spacing w:before="80" w:after="80"/>
              <w:ind w:left="120"/>
            </w:pPr>
            <w:r>
              <w:rPr>
                <w:color w:val="141414"/>
                <w:sz w:val="20"/>
              </w:rPr>
              <w:t>June 17, 2026</w:t>
            </w:r>
          </w:p>
        </w:tc>
      </w:tr>
      <w:tr>
        <w:tc>
          <w:tcPr>
            <w:tcW w:type="dxa" w:w="3168"/>
            <w:vAlign w:val="center"/>
          </w:tcPr>
          <w:p>
            <w:pPr>
              <w:spacing w:before="80" w:after="80"/>
              <w:ind w:left="120"/>
            </w:pPr>
            <w:r>
              <w:rPr>
                <w:b/>
                <w:color w:val="1A1A2E"/>
                <w:sz w:val="20"/>
              </w:rPr>
              <w:t>Classification</w:t>
            </w:r>
          </w:p>
        </w:tc>
        <w:tc>
          <w:tcPr>
            <w:tcW w:type="dxa" w:w="5472"/>
            <w:vAlign w:val="center"/>
          </w:tcPr>
          <w:p>
            <w:pPr>
              <w:spacing w:before="80" w:after="80"/>
              <w:ind w:left="120"/>
            </w:pPr>
            <w:r>
              <w:rPr>
                <w:color w:val="141414"/>
                <w:sz w:val="20"/>
              </w:rPr>
              <w:t>Public</w:t>
            </w:r>
          </w:p>
        </w:tc>
      </w:tr>
    </w:tbl>
    <w:p/>
    <w:p/>
    <w:p/>
    <w:p/>
    <w:p>
      <w:pPr>
        <w:spacing w:before="0" w:after="40"/>
        <w:jc w:val="center"/>
      </w:pPr>
      <w:r>
        <w:rPr>
          <w:b/>
          <w:color w:val="1A1A2E"/>
          <w:sz w:val="20"/>
        </w:rPr>
        <w:t>© 2026 NodeAxis. All Rights Reserved.</w:t>
      </w:r>
    </w:p>
    <w:p>
      <w:pPr>
        <w:spacing w:before="0" w:after="0"/>
        <w:jc w:val="center"/>
      </w:pPr>
      <w:r>
        <w:rPr>
          <w:i/>
          <w:color w:val="646473"/>
          <w:sz w:val="18"/>
        </w:rPr>
        <w:t>This document is the exclusive property of NodeAxis. Unauthorized reproduction,</w:t>
        <w:br/>
        <w:t>distribution, or disclosure of its contents is strictly prohibited.</w:t>
      </w:r>
    </w:p>
    <w:p>
      <w:r>
        <w:br w:type="page"/>
      </w:r>
    </w:p>
    <w:p>
      <w:pPr>
        <w:spacing w:before="0" w:after="160"/>
        <w:jc w:val="center"/>
      </w:pPr>
      <w:r>
        <w:rPr>
          <w:b/>
          <w:color w:val="1A1A2E"/>
          <w:sz w:val="36"/>
        </w:rPr>
        <w:t>Table of Contents</w:t>
      </w:r>
    </w:p>
    <w:p>
      <w:pPr>
        <w:pBdr>
          <w:bottom w:val="single" w:sz="6" w:space="1" w:color="1A1A2E"/>
        </w:pBdr>
        <w:spacing w:before="0" w:after="0"/>
      </w:pPr>
    </w:p>
    <w:p/>
    <w:p>
      <w:pPr>
        <w:spacing w:before="0" w:after="60"/>
      </w:pPr>
      <w:r>
        <w:rPr>
          <w:color w:val="141414"/>
          <w:sz w:val="22"/>
        </w:rPr>
        <w:t xml:space="preserve">  1.  Introduction</w:t>
      </w:r>
      <w:r>
        <w:rPr>
          <w:color w:val="646473"/>
          <w:sz w:val="22"/>
        </w:rPr>
        <w:t>................................................. 3</w:t>
      </w:r>
    </w:p>
    <w:p>
      <w:pPr>
        <w:spacing w:before="0" w:after="60"/>
      </w:pPr>
      <w:r>
        <w:rPr>
          <w:color w:val="141414"/>
          <w:sz w:val="22"/>
        </w:rPr>
        <w:t xml:space="preserve">  2.  Website Overview</w:t>
      </w:r>
      <w:r>
        <w:rPr>
          <w:color w:val="646473"/>
          <w:sz w:val="22"/>
        </w:rPr>
        <w:t>............................................. 3</w:t>
      </w:r>
    </w:p>
    <w:p>
      <w:pPr>
        <w:spacing w:before="0" w:after="60"/>
      </w:pPr>
      <w:r>
        <w:rPr>
          <w:color w:val="141414"/>
          <w:sz w:val="22"/>
        </w:rPr>
        <w:t xml:space="preserve">  3.  Navigating the Website</w:t>
      </w:r>
      <w:r>
        <w:rPr>
          <w:color w:val="646473"/>
          <w:sz w:val="22"/>
        </w:rPr>
        <w:t>....................................... 4</w:t>
      </w:r>
    </w:p>
    <w:p>
      <w:pPr>
        <w:spacing w:before="0" w:after="60"/>
      </w:pPr>
      <w:r>
        <w:rPr>
          <w:color w:val="141414"/>
          <w:sz w:val="22"/>
        </w:rPr>
        <w:t xml:space="preserve">  4.  Pages &amp; Features</w:t>
      </w:r>
      <w:r>
        <w:rPr>
          <w:color w:val="646473"/>
          <w:sz w:val="22"/>
        </w:rPr>
        <w:t>............................................. 4</w:t>
      </w:r>
    </w:p>
    <w:p>
      <w:pPr>
        <w:spacing w:before="0" w:after="60"/>
      </w:pPr>
      <w:r>
        <w:rPr>
          <w:color w:val="141414"/>
          <w:sz w:val="22"/>
        </w:rPr>
        <w:t xml:space="preserve">  5.  Theme System (Light / Dark Mode)</w:t>
      </w:r>
      <w:r>
        <w:rPr>
          <w:color w:val="646473"/>
          <w:sz w:val="22"/>
        </w:rPr>
        <w:t>............................. 6</w:t>
      </w:r>
    </w:p>
    <w:p>
      <w:pPr>
        <w:spacing w:before="0" w:after="60"/>
      </w:pPr>
      <w:r>
        <w:rPr>
          <w:color w:val="141414"/>
          <w:sz w:val="22"/>
        </w:rPr>
        <w:t xml:space="preserve">  6.  Contact &amp; Inquiry Process</w:t>
      </w:r>
      <w:r>
        <w:rPr>
          <w:color w:val="646473"/>
          <w:sz w:val="22"/>
        </w:rPr>
        <w:t>.................................... 6</w:t>
      </w:r>
    </w:p>
    <w:p>
      <w:pPr>
        <w:spacing w:before="0" w:after="60"/>
      </w:pPr>
      <w:r>
        <w:rPr>
          <w:color w:val="141414"/>
          <w:sz w:val="22"/>
        </w:rPr>
        <w:t xml:space="preserve">  7.  Project Portfolio</w:t>
      </w:r>
      <w:r>
        <w:rPr>
          <w:color w:val="646473"/>
          <w:sz w:val="22"/>
        </w:rPr>
        <w:t>............................................ 7</w:t>
      </w:r>
    </w:p>
    <w:p>
      <w:pPr>
        <w:spacing w:before="0" w:after="60"/>
      </w:pPr>
      <w:r>
        <w:rPr>
          <w:color w:val="141414"/>
          <w:sz w:val="22"/>
        </w:rPr>
        <w:t xml:space="preserve">  8.  Accessibility &amp; Performance</w:t>
      </w:r>
      <w:r>
        <w:rPr>
          <w:color w:val="646473"/>
          <w:sz w:val="22"/>
        </w:rPr>
        <w:t>.................................. 7</w:t>
      </w:r>
    </w:p>
    <w:p>
      <w:pPr>
        <w:spacing w:before="0" w:after="60"/>
      </w:pPr>
      <w:r>
        <w:rPr>
          <w:color w:val="141414"/>
          <w:sz w:val="22"/>
        </w:rPr>
        <w:t xml:space="preserve">  9.  Browser &amp; Device Compatibility</w:t>
      </w:r>
      <w:r>
        <w:rPr>
          <w:color w:val="646473"/>
          <w:sz w:val="22"/>
        </w:rPr>
        <w:t>............................... 8</w:t>
      </w:r>
    </w:p>
    <w:p>
      <w:pPr>
        <w:spacing w:before="0" w:after="60"/>
      </w:pPr>
      <w:r>
        <w:rPr>
          <w:color w:val="141414"/>
          <w:sz w:val="22"/>
        </w:rPr>
        <w:t xml:space="preserve">  10.  Frequently Asked Questions</w:t>
      </w:r>
      <w:r>
        <w:rPr>
          <w:color w:val="646473"/>
          <w:sz w:val="22"/>
        </w:rPr>
        <w:t>.................................. 8</w:t>
      </w:r>
    </w:p>
    <w:p>
      <w:pPr>
        <w:spacing w:before="0" w:after="60"/>
      </w:pPr>
      <w:r>
        <w:rPr>
          <w:color w:val="141414"/>
          <w:sz w:val="22"/>
        </w:rPr>
        <w:t xml:space="preserve">  11.  Support &amp; Contact Information</w:t>
      </w:r>
      <w:r>
        <w:rPr>
          <w:color w:val="646473"/>
          <w:sz w:val="22"/>
        </w:rPr>
        <w:t>............................... 9</w:t>
      </w:r>
    </w:p>
    <w:p>
      <w:pPr>
        <w:spacing w:before="0" w:after="60"/>
      </w:pPr>
      <w:r>
        <w:rPr>
          <w:color w:val="141414"/>
          <w:sz w:val="22"/>
        </w:rPr>
        <w:t xml:space="preserve">  12.  Legal &amp; Copyright Notice</w:t>
      </w:r>
      <w:r>
        <w:rPr>
          <w:color w:val="646473"/>
          <w:sz w:val="22"/>
        </w:rPr>
        <w:t>.................................... 9</w:t>
      </w:r>
    </w:p>
    <w:p>
      <w:r>
        <w:br w:type="page"/>
      </w:r>
    </w:p>
    <w:p>
      <w:pPr>
        <w:spacing w:before="280" w:after="80"/>
      </w:pPr>
      <w:r>
        <w:rPr>
          <w:b/>
          <w:color w:val="4E9FFF"/>
          <w:sz w:val="32"/>
        </w:rPr>
        <w:t xml:space="preserve">1.  </w:t>
      </w:r>
      <w:r>
        <w:rPr>
          <w:b/>
          <w:color w:val="1A1A2E"/>
          <w:sz w:val="32"/>
        </w:rPr>
        <w:t>Introduction</w:t>
      </w:r>
    </w:p>
    <w:p>
      <w:pPr>
        <w:pBdr>
          <w:bottom w:val="single" w:sz="6" w:space="1" w:color="1A1A2E"/>
        </w:pBdr>
        <w:spacing w:before="0" w:after="0"/>
      </w:pPr>
    </w:p>
    <w:p>
      <w:pPr>
        <w:spacing w:before="0" w:after="100" w:line="280" w:lineRule="exact"/>
      </w:pPr>
      <w:r>
        <w:rPr>
          <w:color w:val="141414"/>
          <w:sz w:val="22"/>
        </w:rPr>
        <w:t>This document constitutes the Official User Documentation for the NodeAxis agency website. It is intended to provide end users, prospective clients, and internal team members with a comprehensive reference for understanding, navigating, and utilizing all features of the NodeAxis digital presence.</w:t>
      </w:r>
    </w:p>
    <w:p>
      <w:pPr>
        <w:spacing w:before="0" w:after="100" w:line="280" w:lineRule="exact"/>
      </w:pPr>
      <w:r>
        <w:rPr>
          <w:color w:val="141414"/>
          <w:sz w:val="22"/>
        </w:rPr>
        <w:t>NodeAxis is a full-service digital agency specializing in web development, UI/UX design, brand strategy, and technology consulting. This website serves as the primary point of contact between NodeAxis and its client base — presenting services, showcasing completed work, and enabling direct engagement with the agency team.</w:t>
      </w:r>
    </w:p>
    <w:p>
      <w:pPr>
        <w:spacing w:before="200" w:after="60"/>
      </w:pPr>
      <w:r>
        <w:rPr>
          <w:b/>
          <w:color w:val="1A1A2E"/>
          <w:sz w:val="24"/>
        </w:rPr>
        <w:t>1.1  Document Scope</w:t>
      </w:r>
    </w:p>
    <w:p>
      <w:pPr>
        <w:spacing w:before="0" w:after="100" w:line="280" w:lineRule="exact"/>
      </w:pPr>
      <w:r>
        <w:rPr>
          <w:color w:val="141414"/>
          <w:sz w:val="22"/>
        </w:rPr>
        <w:t>This documentation covers all publicly accessible sections of the NodeAxis website, the inquiry and contact workflow, the theme system, portfolio navigation, and general usage guidelines. It does not cover internal administrative systems, client portals, or backend infrastructure, which are addressed in separate technical documentation.</w:t>
      </w:r>
    </w:p>
    <w:p>
      <w:pPr>
        <w:spacing w:before="200" w:after="60"/>
      </w:pPr>
      <w:r>
        <w:rPr>
          <w:b/>
          <w:color w:val="1A1A2E"/>
          <w:sz w:val="24"/>
        </w:rPr>
        <w:t>1.2  Intended Audience</w:t>
      </w:r>
    </w:p>
    <w:p>
      <w:pPr>
        <w:pStyle w:val="ListBullet"/>
        <w:spacing w:before="0" w:after="60"/>
        <w:ind w:left="360"/>
      </w:pPr>
      <w:r>
        <w:rPr>
          <w:color w:val="141414"/>
          <w:sz w:val="22"/>
        </w:rPr>
        <w:t>Prospective and existing clients visiting the NodeAxis website</w:t>
      </w:r>
    </w:p>
    <w:p>
      <w:pPr>
        <w:pStyle w:val="ListBullet"/>
        <w:spacing w:before="0" w:after="60"/>
        <w:ind w:left="360"/>
      </w:pPr>
      <w:r>
        <w:rPr>
          <w:color w:val="141414"/>
          <w:sz w:val="22"/>
        </w:rPr>
        <w:t>Internal team members responsible for maintaining or presenting the site</w:t>
      </w:r>
    </w:p>
    <w:p>
      <w:pPr>
        <w:pStyle w:val="ListBullet"/>
        <w:spacing w:before="0" w:after="60"/>
        <w:ind w:left="360"/>
      </w:pPr>
      <w:r>
        <w:rPr>
          <w:color w:val="141414"/>
          <w:sz w:val="22"/>
        </w:rPr>
        <w:t>Stakeholders reviewing the NodeAxis digital product</w:t>
      </w:r>
    </w:p>
    <w:p>
      <w:pPr>
        <w:spacing w:before="280" w:after="80"/>
      </w:pPr>
      <w:r>
        <w:rPr>
          <w:b/>
          <w:color w:val="4E9FFF"/>
          <w:sz w:val="32"/>
        </w:rPr>
        <w:t xml:space="preserve">2.  </w:t>
      </w:r>
      <w:r>
        <w:rPr>
          <w:b/>
          <w:color w:val="1A1A2E"/>
          <w:sz w:val="32"/>
        </w:rPr>
        <w:t>Website Overview</w:t>
      </w:r>
    </w:p>
    <w:p>
      <w:pPr>
        <w:pBdr>
          <w:bottom w:val="single" w:sz="6" w:space="1" w:color="1A1A2E"/>
        </w:pBdr>
        <w:spacing w:before="0" w:after="0"/>
      </w:pPr>
    </w:p>
    <w:p>
      <w:pPr>
        <w:spacing w:before="200" w:after="60"/>
      </w:pPr>
      <w:r>
        <w:rPr>
          <w:b/>
          <w:color w:val="1A1A2E"/>
          <w:sz w:val="24"/>
        </w:rPr>
        <w:t>2.1  Purpose</w:t>
      </w:r>
    </w:p>
    <w:p>
      <w:pPr>
        <w:spacing w:before="0" w:after="100" w:line="280" w:lineRule="exact"/>
      </w:pPr>
      <w:r>
        <w:rPr>
          <w:color w:val="141414"/>
          <w:sz w:val="22"/>
        </w:rPr>
        <w:t>The NodeAxis website is a high-performance marketing and portfolio platform designed to communicate the agency's capabilities, aesthetic standards, and proven track record. It functions as a digital business card, sales tool, and brand statement simultaneously.</w:t>
      </w:r>
    </w:p>
    <w:p>
      <w:pPr>
        <w:spacing w:before="200" w:after="60"/>
      </w:pPr>
      <w:r>
        <w:rPr>
          <w:b/>
          <w:color w:val="1A1A2E"/>
          <w:sz w:val="24"/>
        </w:rPr>
        <w:t>2.2  Technology Stack</w:t>
      </w:r>
    </w:p>
    <w:p>
      <w:pPr>
        <w:spacing w:before="0" w:after="100" w:line="280" w:lineRule="exact"/>
      </w:pPr>
      <w:r>
        <w:rPr>
          <w:color w:val="141414"/>
          <w:sz w:val="22"/>
        </w:rPr>
        <w:t>The website is built on the following technology foundation:</w:t>
      </w:r>
    </w:p>
    <w:tbl>
      <w:tblPr>
        <w:tblStyle w:val="TableGrid"/>
        <w:tblW w:type="auto" w:w="0"/>
        <w:tblLook w:firstColumn="1" w:firstRow="1" w:lastColumn="0" w:lastRow="0" w:noHBand="0" w:noVBand="1" w:val="04A0"/>
      </w:tblPr>
      <w:tblGrid>
        <w:gridCol w:w="4419"/>
        <w:gridCol w:w="4419"/>
      </w:tblGrid>
      <w:tr>
        <w:tc>
          <w:tcPr>
            <w:tcW w:type="dxa" w:w="4419"/>
          </w:tcPr>
          <w:p>
            <w:pPr>
              <w:spacing w:before="60" w:after="60"/>
              <w:ind w:left="100"/>
            </w:pPr>
            <w:r>
              <w:rPr>
                <w:b/>
                <w:color w:val="1A1A2E"/>
                <w:sz w:val="20"/>
              </w:rPr>
              <w:t>Framework</w:t>
            </w:r>
          </w:p>
        </w:tc>
        <w:tc>
          <w:tcPr>
            <w:tcW w:type="dxa" w:w="4419"/>
          </w:tcPr>
          <w:p>
            <w:pPr>
              <w:spacing w:before="60" w:after="60"/>
              <w:ind w:left="100"/>
            </w:pPr>
            <w:r>
              <w:rPr>
                <w:color w:val="141414"/>
                <w:sz w:val="20"/>
              </w:rPr>
              <w:t>Next.js 14 — React-based, App Router architecture</w:t>
            </w:r>
          </w:p>
        </w:tc>
      </w:tr>
      <w:tr>
        <w:tc>
          <w:tcPr>
            <w:tcW w:type="dxa" w:w="4419"/>
          </w:tcPr>
          <w:p>
            <w:pPr>
              <w:spacing w:before="60" w:after="60"/>
              <w:ind w:left="100"/>
            </w:pPr>
            <w:r>
              <w:rPr>
                <w:b/>
                <w:color w:val="1A1A2E"/>
                <w:sz w:val="20"/>
              </w:rPr>
              <w:t>Language</w:t>
            </w:r>
          </w:p>
        </w:tc>
        <w:tc>
          <w:tcPr>
            <w:tcW w:type="dxa" w:w="4419"/>
          </w:tcPr>
          <w:p>
            <w:pPr>
              <w:spacing w:before="60" w:after="60"/>
              <w:ind w:left="100"/>
            </w:pPr>
            <w:r>
              <w:rPr>
                <w:color w:val="141414"/>
                <w:sz w:val="20"/>
              </w:rPr>
              <w:t>TypeScript — strongly typed JavaScript</w:t>
            </w:r>
          </w:p>
        </w:tc>
      </w:tr>
      <w:tr>
        <w:tc>
          <w:tcPr>
            <w:tcW w:type="dxa" w:w="4419"/>
          </w:tcPr>
          <w:p>
            <w:pPr>
              <w:spacing w:before="60" w:after="60"/>
              <w:ind w:left="100"/>
            </w:pPr>
            <w:r>
              <w:rPr>
                <w:b/>
                <w:color w:val="1A1A2E"/>
                <w:sz w:val="20"/>
              </w:rPr>
              <w:t>Styling</w:t>
            </w:r>
          </w:p>
        </w:tc>
        <w:tc>
          <w:tcPr>
            <w:tcW w:type="dxa" w:w="4419"/>
          </w:tcPr>
          <w:p>
            <w:pPr>
              <w:spacing w:before="60" w:after="60"/>
              <w:ind w:left="100"/>
            </w:pPr>
            <w:r>
              <w:rPr>
                <w:color w:val="141414"/>
                <w:sz w:val="20"/>
              </w:rPr>
              <w:t>Tailwind CSS — utility-first responsive design</w:t>
            </w:r>
          </w:p>
        </w:tc>
      </w:tr>
      <w:tr>
        <w:tc>
          <w:tcPr>
            <w:tcW w:type="dxa" w:w="4419"/>
          </w:tcPr>
          <w:p>
            <w:pPr>
              <w:spacing w:before="60" w:after="60"/>
              <w:ind w:left="100"/>
            </w:pPr>
            <w:r>
              <w:rPr>
                <w:b/>
                <w:color w:val="1A1A2E"/>
                <w:sz w:val="20"/>
              </w:rPr>
              <w:t>Animation</w:t>
            </w:r>
          </w:p>
        </w:tc>
        <w:tc>
          <w:tcPr>
            <w:tcW w:type="dxa" w:w="4419"/>
          </w:tcPr>
          <w:p>
            <w:pPr>
              <w:spacing w:before="60" w:after="60"/>
              <w:ind w:left="100"/>
            </w:pPr>
            <w:r>
              <w:rPr>
                <w:color w:val="141414"/>
                <w:sz w:val="20"/>
              </w:rPr>
              <w:t>Framer Motion — fluid, high-quality motion design</w:t>
            </w:r>
          </w:p>
        </w:tc>
      </w:tr>
      <w:tr>
        <w:tc>
          <w:tcPr>
            <w:tcW w:type="dxa" w:w="4419"/>
          </w:tcPr>
          <w:p>
            <w:pPr>
              <w:spacing w:before="60" w:after="60"/>
              <w:ind w:left="100"/>
            </w:pPr>
            <w:r>
              <w:rPr>
                <w:b/>
                <w:color w:val="1A1A2E"/>
                <w:sz w:val="20"/>
              </w:rPr>
              <w:t>Hosting</w:t>
            </w:r>
          </w:p>
        </w:tc>
        <w:tc>
          <w:tcPr>
            <w:tcW w:type="dxa" w:w="4419"/>
          </w:tcPr>
          <w:p>
            <w:pPr>
              <w:spacing w:before="60" w:after="60"/>
              <w:ind w:left="100"/>
            </w:pPr>
            <w:r>
              <w:rPr>
                <w:color w:val="141414"/>
                <w:sz w:val="20"/>
              </w:rPr>
              <w:t>Vercel — global edge network deployment</w:t>
            </w:r>
          </w:p>
        </w:tc>
      </w:tr>
      <w:tr>
        <w:tc>
          <w:tcPr>
            <w:tcW w:type="dxa" w:w="4419"/>
          </w:tcPr>
          <w:p>
            <w:pPr>
              <w:spacing w:before="60" w:after="60"/>
              <w:ind w:left="100"/>
            </w:pPr>
            <w:r>
              <w:rPr>
                <w:b/>
                <w:color w:val="1A1A2E"/>
                <w:sz w:val="20"/>
              </w:rPr>
              <w:t>Performance</w:t>
            </w:r>
          </w:p>
        </w:tc>
        <w:tc>
          <w:tcPr>
            <w:tcW w:type="dxa" w:w="4419"/>
          </w:tcPr>
          <w:p>
            <w:pPr>
              <w:spacing w:before="60" w:after="60"/>
              <w:ind w:left="100"/>
            </w:pPr>
            <w:r>
              <w:rPr>
                <w:color w:val="141414"/>
                <w:sz w:val="20"/>
              </w:rPr>
              <w:t>Server-side rendering (SSR) with static generation (SSG)</w:t>
            </w:r>
          </w:p>
        </w:tc>
      </w:tr>
    </w:tbl>
    <w:p/>
    <w:p>
      <w:pPr>
        <w:spacing w:before="200" w:after="60"/>
      </w:pPr>
      <w:r>
        <w:rPr>
          <w:b/>
          <w:color w:val="1A1A2E"/>
          <w:sz w:val="24"/>
        </w:rPr>
        <w:t>2.3  Key Characteristics</w:t>
      </w:r>
    </w:p>
    <w:p>
      <w:pPr>
        <w:pStyle w:val="ListBullet"/>
        <w:spacing w:before="0" w:after="60"/>
        <w:ind w:left="360"/>
      </w:pPr>
      <w:r>
        <w:rPr>
          <w:color w:val="141414"/>
          <w:sz w:val="22"/>
        </w:rPr>
        <w:t>Dark-first design with premium, high-motion visual identity</w:t>
      </w:r>
    </w:p>
    <w:p>
      <w:pPr>
        <w:pStyle w:val="ListBullet"/>
        <w:spacing w:before="0" w:after="60"/>
        <w:ind w:left="360"/>
      </w:pPr>
      <w:r>
        <w:rPr>
          <w:color w:val="141414"/>
          <w:sz w:val="22"/>
        </w:rPr>
        <w:t>Fully responsive — optimized for desktop, tablet, and mobile</w:t>
      </w:r>
    </w:p>
    <w:p>
      <w:pPr>
        <w:pStyle w:val="ListBullet"/>
        <w:spacing w:before="0" w:after="60"/>
        <w:ind w:left="360"/>
      </w:pPr>
      <w:r>
        <w:rPr>
          <w:color w:val="141414"/>
          <w:sz w:val="22"/>
        </w:rPr>
        <w:t>User-selectable light and dark themes with persistent preference storage</w:t>
      </w:r>
    </w:p>
    <w:p>
      <w:pPr>
        <w:pStyle w:val="ListBullet"/>
        <w:spacing w:before="0" w:after="60"/>
        <w:ind w:left="360"/>
      </w:pPr>
      <w:r>
        <w:rPr>
          <w:color w:val="141414"/>
          <w:sz w:val="22"/>
        </w:rPr>
        <w:t>Custom animated cursor enhancing desktop interactivity</w:t>
      </w:r>
    </w:p>
    <w:p>
      <w:pPr>
        <w:pStyle w:val="ListBullet"/>
        <w:spacing w:before="0" w:after="60"/>
        <w:ind w:left="360"/>
      </w:pPr>
      <w:r>
        <w:rPr>
          <w:color w:val="141414"/>
          <w:sz w:val="22"/>
        </w:rPr>
        <w:t>Slug-based project routing enabling deep-linkable portfolio entries</w:t>
      </w:r>
    </w:p>
    <w:p>
      <w:pPr>
        <w:spacing w:before="280" w:after="80"/>
      </w:pPr>
      <w:r>
        <w:rPr>
          <w:b/>
          <w:color w:val="4E9FFF"/>
          <w:sz w:val="32"/>
        </w:rPr>
        <w:t xml:space="preserve">3.  </w:t>
      </w:r>
      <w:r>
        <w:rPr>
          <w:b/>
          <w:color w:val="1A1A2E"/>
          <w:sz w:val="32"/>
        </w:rPr>
        <w:t>Navigating the Website</w:t>
      </w:r>
    </w:p>
    <w:p>
      <w:pPr>
        <w:pBdr>
          <w:bottom w:val="single" w:sz="6" w:space="1" w:color="1A1A2E"/>
        </w:pBdr>
        <w:spacing w:before="0" w:after="0"/>
      </w:pPr>
    </w:p>
    <w:p>
      <w:pPr>
        <w:spacing w:before="200" w:after="60"/>
      </w:pPr>
      <w:r>
        <w:rPr>
          <w:b/>
          <w:color w:val="1A1A2E"/>
          <w:sz w:val="24"/>
        </w:rPr>
        <w:t>3.1  Navigation Bar</w:t>
      </w:r>
    </w:p>
    <w:p>
      <w:pPr>
        <w:spacing w:before="0" w:after="100" w:line="280" w:lineRule="exact"/>
      </w:pPr>
      <w:r>
        <w:rPr>
          <w:color w:val="141414"/>
          <w:sz w:val="22"/>
        </w:rPr>
        <w:t>The navigation bar is fixed at the top of every page and provides direct access to all primary sections of the site. The currently active route is highlighted to orient the user at all times. On mobile devices, the navigation adapts to a compact layout.</w:t>
      </w:r>
    </w:p>
    <w:p>
      <w:pPr>
        <w:spacing w:before="0" w:after="100" w:line="280" w:lineRule="exact"/>
      </w:pPr>
      <w:r>
        <w:rPr>
          <w:color w:val="141414"/>
          <w:sz w:val="22"/>
        </w:rPr>
        <w:t>The navigation bar contains links to the following pages:</w:t>
      </w:r>
    </w:p>
    <w:p>
      <w:pPr>
        <w:pStyle w:val="ListBullet"/>
        <w:spacing w:before="0" w:after="60"/>
        <w:ind w:left="360"/>
      </w:pPr>
      <w:r>
        <w:rPr>
          <w:color w:val="141414"/>
          <w:sz w:val="22"/>
        </w:rPr>
        <w:t>Home  —  /</w:t>
      </w:r>
    </w:p>
    <w:p>
      <w:pPr>
        <w:pStyle w:val="ListBullet"/>
        <w:spacing w:before="0" w:after="60"/>
        <w:ind w:left="360"/>
      </w:pPr>
      <w:r>
        <w:rPr>
          <w:color w:val="141414"/>
          <w:sz w:val="22"/>
        </w:rPr>
        <w:t>Services  —  /services</w:t>
      </w:r>
    </w:p>
    <w:p>
      <w:pPr>
        <w:pStyle w:val="ListBullet"/>
        <w:spacing w:before="0" w:after="60"/>
        <w:ind w:left="360"/>
      </w:pPr>
      <w:r>
        <w:rPr>
          <w:color w:val="141414"/>
          <w:sz w:val="22"/>
        </w:rPr>
        <w:t>Work  —  /work</w:t>
      </w:r>
    </w:p>
    <w:p>
      <w:pPr>
        <w:pStyle w:val="ListBullet"/>
        <w:spacing w:before="0" w:after="60"/>
        <w:ind w:left="360"/>
      </w:pPr>
      <w:r>
        <w:rPr>
          <w:color w:val="141414"/>
          <w:sz w:val="22"/>
        </w:rPr>
        <w:t>Contact  —  /contact</w:t>
      </w:r>
    </w:p>
    <w:p>
      <w:pPr>
        <w:spacing w:before="200" w:after="60"/>
      </w:pPr>
      <w:r>
        <w:rPr>
          <w:b/>
          <w:color w:val="1A1A2E"/>
          <w:sz w:val="24"/>
        </w:rPr>
        <w:t>3.2  Page Entry Animation</w:t>
      </w:r>
    </w:p>
    <w:p>
      <w:pPr>
        <w:spacing w:before="0" w:after="100" w:line="280" w:lineRule="exact"/>
      </w:pPr>
      <w:r>
        <w:rPr>
          <w:color w:val="141414"/>
          <w:sz w:val="22"/>
        </w:rPr>
        <w:t>Upon first visiting the website, users are greeted by an introductory loader animation that transitions into the main homepage. This animation runs once per session and is designed to set the premium tone of the NodeAxis brand. It cannot be skipped but completes within approximately two seconds.</w:t>
      </w:r>
    </w:p>
    <w:p>
      <w:pPr>
        <w:spacing w:before="200" w:after="60"/>
      </w:pPr>
      <w:r>
        <w:rPr>
          <w:b/>
          <w:color w:val="1A1A2E"/>
          <w:sz w:val="24"/>
        </w:rPr>
        <w:t>3.3  Custom Cursor (Desktop)</w:t>
      </w:r>
    </w:p>
    <w:p>
      <w:pPr>
        <w:spacing w:before="0" w:after="100" w:line="280" w:lineRule="exact"/>
      </w:pPr>
      <w:r>
        <w:rPr>
          <w:color w:val="141414"/>
          <w:sz w:val="22"/>
        </w:rPr>
        <w:t>On desktop browsers, a custom animated cursor replaces the default system cursor. The cursor features a slight lag-follow effect that reinforces the premium, fluid feel of the interface. Standard cursor behavior is preserved on mobile and touch devices.</w:t>
      </w:r>
    </w:p>
    <w:p>
      <w:pPr>
        <w:spacing w:before="120" w:after="120"/>
        <w:ind w:left="360" w:right="360"/>
      </w:pPr>
      <w:r>
        <w:rPr>
          <w:b/>
          <w:color w:val="4E9FFF"/>
          <w:sz w:val="20"/>
        </w:rPr>
        <w:t xml:space="preserve">NOTE:  </w:t>
      </w:r>
      <w:r>
        <w:rPr>
          <w:i/>
          <w:color w:val="646473"/>
          <w:sz w:val="20"/>
        </w:rPr>
        <w:t>Users who prefer reduced motion should enable the 'Reduce Motion' accessibility setting in their operating system. The website respects this preference and will minimize or disable motion-heavy animations accordingly.</w:t>
      </w:r>
    </w:p>
    <w:p>
      <w:pPr>
        <w:spacing w:before="280" w:after="80"/>
      </w:pPr>
      <w:r>
        <w:rPr>
          <w:b/>
          <w:color w:val="4E9FFF"/>
          <w:sz w:val="32"/>
        </w:rPr>
        <w:t xml:space="preserve">4.  </w:t>
      </w:r>
      <w:r>
        <w:rPr>
          <w:b/>
          <w:color w:val="1A1A2E"/>
          <w:sz w:val="32"/>
        </w:rPr>
        <w:t>Pages &amp; Features</w:t>
      </w:r>
    </w:p>
    <w:p>
      <w:pPr>
        <w:pBdr>
          <w:bottom w:val="single" w:sz="6" w:space="1" w:color="1A1A2E"/>
        </w:pBdr>
        <w:spacing w:before="0" w:after="0"/>
      </w:pPr>
    </w:p>
    <w:p>
      <w:pPr>
        <w:spacing w:before="200" w:after="60"/>
      </w:pPr>
      <w:r>
        <w:rPr>
          <w:b/>
          <w:color w:val="1A1A2E"/>
          <w:sz w:val="24"/>
        </w:rPr>
        <w:t>4.1  Home Page  ( / )</w:t>
      </w:r>
    </w:p>
    <w:p>
      <w:pPr>
        <w:spacing w:before="0" w:after="100" w:line="280" w:lineRule="exact"/>
      </w:pPr>
      <w:r>
        <w:rPr>
          <w:color w:val="141414"/>
          <w:sz w:val="22"/>
        </w:rPr>
        <w:t>The homepage is the primary landing experience and contains all core brand messaging. It is structured as a single long-form page with the following sections presented in order:</w:t>
      </w:r>
    </w:p>
    <w:p>
      <w:pPr>
        <w:spacing w:before="40" w:after="40"/>
        <w:ind w:left="360"/>
      </w:pPr>
      <w:r>
        <w:rPr>
          <w:b/>
          <w:color w:val="1A1A2E"/>
          <w:sz w:val="22"/>
        </w:rPr>
        <w:t xml:space="preserve">Hero:  </w:t>
      </w:r>
      <w:r>
        <w:rPr>
          <w:color w:val="141414"/>
          <w:sz w:val="22"/>
        </w:rPr>
        <w:t>Full-screen opening statement with the primary value proposition and call-to-action.</w:t>
      </w:r>
    </w:p>
    <w:p>
      <w:pPr>
        <w:spacing w:before="40" w:after="40"/>
        <w:ind w:left="360"/>
      </w:pPr>
      <w:r>
        <w:rPr>
          <w:b/>
          <w:color w:val="1A1A2E"/>
          <w:sz w:val="22"/>
        </w:rPr>
        <w:t xml:space="preserve">About:  </w:t>
      </w:r>
      <w:r>
        <w:rPr>
          <w:color w:val="141414"/>
          <w:sz w:val="22"/>
        </w:rPr>
        <w:t>A concise overview of the NodeAxis agency, its founding principles, and team.</w:t>
      </w:r>
    </w:p>
    <w:p>
      <w:pPr>
        <w:spacing w:before="40" w:after="40"/>
        <w:ind w:left="360"/>
      </w:pPr>
      <w:r>
        <w:rPr>
          <w:b/>
          <w:color w:val="1A1A2E"/>
          <w:sz w:val="22"/>
        </w:rPr>
        <w:t xml:space="preserve">Services:  </w:t>
      </w:r>
      <w:r>
        <w:rPr>
          <w:color w:val="141414"/>
          <w:sz w:val="22"/>
        </w:rPr>
        <w:t>A summary of the agency's core service offerings.</w:t>
      </w:r>
    </w:p>
    <w:p>
      <w:pPr>
        <w:spacing w:before="40" w:after="40"/>
        <w:ind w:left="360"/>
      </w:pPr>
      <w:r>
        <w:rPr>
          <w:b/>
          <w:color w:val="1A1A2E"/>
          <w:sz w:val="22"/>
        </w:rPr>
        <w:t xml:space="preserve">Work:  </w:t>
      </w:r>
      <w:r>
        <w:rPr>
          <w:color w:val="141414"/>
          <w:sz w:val="22"/>
        </w:rPr>
        <w:t>A grid preview of selected case studies and completed projects.</w:t>
      </w:r>
    </w:p>
    <w:p>
      <w:pPr>
        <w:spacing w:before="40" w:after="40"/>
        <w:ind w:left="360"/>
      </w:pPr>
      <w:r>
        <w:rPr>
          <w:b/>
          <w:color w:val="1A1A2E"/>
          <w:sz w:val="22"/>
        </w:rPr>
        <w:t xml:space="preserve">Process:  </w:t>
      </w:r>
      <w:r>
        <w:rPr>
          <w:color w:val="141414"/>
          <w:sz w:val="22"/>
        </w:rPr>
        <w:t>A step-by-step breakdown of the NodeAxis client engagement methodology.</w:t>
      </w:r>
    </w:p>
    <w:p>
      <w:pPr>
        <w:spacing w:before="40" w:after="40"/>
        <w:ind w:left="360"/>
      </w:pPr>
      <w:r>
        <w:rPr>
          <w:b/>
          <w:color w:val="1A1A2E"/>
          <w:sz w:val="22"/>
        </w:rPr>
        <w:t xml:space="preserve">Testimonials:  </w:t>
      </w:r>
      <w:r>
        <w:rPr>
          <w:color w:val="141414"/>
          <w:sz w:val="22"/>
        </w:rPr>
        <w:t>Client feedback and endorsements from past engagements.</w:t>
      </w:r>
    </w:p>
    <w:p>
      <w:pPr>
        <w:spacing w:before="40" w:after="40"/>
        <w:ind w:left="360"/>
      </w:pPr>
      <w:r>
        <w:rPr>
          <w:b/>
          <w:color w:val="1A1A2E"/>
          <w:sz w:val="22"/>
        </w:rPr>
        <w:t xml:space="preserve">Why NodeAxis:  </w:t>
      </w:r>
      <w:r>
        <w:rPr>
          <w:color w:val="141414"/>
          <w:sz w:val="22"/>
        </w:rPr>
        <w:t>A differentiated value comparison communicating why clients choose NodeAxis.</w:t>
      </w:r>
    </w:p>
    <w:p>
      <w:pPr>
        <w:spacing w:before="40" w:after="40"/>
        <w:ind w:left="360"/>
      </w:pPr>
      <w:r>
        <w:rPr>
          <w:b/>
          <w:color w:val="1A1A2E"/>
          <w:sz w:val="22"/>
        </w:rPr>
        <w:t xml:space="preserve">FAQ:  </w:t>
      </w:r>
      <w:r>
        <w:rPr>
          <w:color w:val="141414"/>
          <w:sz w:val="22"/>
        </w:rPr>
        <w:t>Answers to the most frequently asked questions from prospective clients.</w:t>
      </w:r>
    </w:p>
    <w:p>
      <w:pPr>
        <w:spacing w:before="40" w:after="40"/>
        <w:ind w:left="360"/>
      </w:pPr>
      <w:r>
        <w:rPr>
          <w:b/>
          <w:color w:val="1A1A2E"/>
          <w:sz w:val="22"/>
        </w:rPr>
        <w:t xml:space="preserve">CTA:  </w:t>
      </w:r>
      <w:r>
        <w:rPr>
          <w:color w:val="141414"/>
          <w:sz w:val="22"/>
        </w:rPr>
        <w:t>A prominent call-to-action prompting visitors to initiate a conversation.</w:t>
      </w:r>
    </w:p>
    <w:p>
      <w:pPr>
        <w:spacing w:before="40" w:after="40"/>
        <w:ind w:left="360"/>
      </w:pPr>
      <w:r>
        <w:rPr>
          <w:b/>
          <w:color w:val="1A1A2E"/>
          <w:sz w:val="22"/>
        </w:rPr>
        <w:t xml:space="preserve">Footer:  </w:t>
      </w:r>
      <w:r>
        <w:rPr>
          <w:color w:val="141414"/>
          <w:sz w:val="22"/>
        </w:rPr>
        <w:t>Site links, social media handles, and legal information.</w:t>
      </w:r>
    </w:p>
    <w:p>
      <w:pPr>
        <w:spacing w:before="200" w:after="60"/>
      </w:pPr>
      <w:r>
        <w:rPr>
          <w:b/>
          <w:color w:val="1A1A2E"/>
          <w:sz w:val="24"/>
        </w:rPr>
        <w:t>4.2  Services Page  ( /services )</w:t>
      </w:r>
    </w:p>
    <w:p>
      <w:pPr>
        <w:spacing w:before="0" w:after="100" w:line="280" w:lineRule="exact"/>
      </w:pPr>
      <w:r>
        <w:rPr>
          <w:color w:val="141414"/>
          <w:sz w:val="22"/>
        </w:rPr>
        <w:t>The Services page provides a detailed breakdown of every service discipline offered by NodeAxis. Each service is presented with a title, description, and relevant capabilities. This page is intended to help prospective clients identify which service tracks are most relevant to their project requirements.</w:t>
      </w:r>
    </w:p>
    <w:p>
      <w:pPr>
        <w:spacing w:before="200" w:after="60"/>
      </w:pPr>
      <w:r>
        <w:rPr>
          <w:b/>
          <w:color w:val="1A1A2E"/>
          <w:sz w:val="24"/>
        </w:rPr>
        <w:t>4.3  Work Page  ( /work )</w:t>
      </w:r>
    </w:p>
    <w:p>
      <w:pPr>
        <w:spacing w:before="0" w:after="100" w:line="280" w:lineRule="exact"/>
      </w:pPr>
      <w:r>
        <w:rPr>
          <w:color w:val="141414"/>
          <w:sz w:val="22"/>
        </w:rPr>
        <w:t>The Work page presents the NodeAxis project portfolio as a visual grid. Each entry displays a project thumbnail, title, and category tag. Selecting any project card navigates the user to that project's dedicated detail page.</w:t>
      </w:r>
    </w:p>
    <w:p>
      <w:pPr>
        <w:spacing w:before="200" w:after="60"/>
      </w:pPr>
      <w:r>
        <w:rPr>
          <w:b/>
          <w:color w:val="1A1A2E"/>
          <w:sz w:val="24"/>
        </w:rPr>
        <w:t>4.4  Project Detail Pages  ( /projects/[slug] )</w:t>
      </w:r>
    </w:p>
    <w:p>
      <w:pPr>
        <w:spacing w:before="0" w:after="100" w:line="280" w:lineRule="exact"/>
      </w:pPr>
      <w:r>
        <w:rPr>
          <w:color w:val="141414"/>
          <w:sz w:val="22"/>
        </w:rPr>
        <w:t>Each project in the portfolio has its own dedicated page, accessible via a unique URL slug (e.g., /projects/project-name). These pages contain the full case study including project background, objectives, deliverables, technologies used, and visual media. Project detail pages are deep-linkable and can be shared directly.</w:t>
      </w:r>
    </w:p>
    <w:p>
      <w:pPr>
        <w:spacing w:before="200" w:after="60"/>
      </w:pPr>
      <w:r>
        <w:rPr>
          <w:b/>
          <w:color w:val="1A1A2E"/>
          <w:sz w:val="24"/>
        </w:rPr>
        <w:t>4.5  Contact Page  ( /contact )</w:t>
      </w:r>
    </w:p>
    <w:p>
      <w:pPr>
        <w:spacing w:before="0" w:after="100" w:line="280" w:lineRule="exact"/>
      </w:pPr>
      <w:r>
        <w:rPr>
          <w:color w:val="141414"/>
          <w:sz w:val="22"/>
        </w:rPr>
        <w:t>The Contact page is the primary channel through which prospective clients initiate engagements with NodeAxis. It contains a contact inquiry form and scheduling functionality. Full details of the inquiry process are covered in Section 6 of this document.</w:t>
      </w:r>
    </w:p>
    <w:p>
      <w:pPr>
        <w:spacing w:before="280" w:after="80"/>
      </w:pPr>
      <w:r>
        <w:rPr>
          <w:b/>
          <w:color w:val="4E9FFF"/>
          <w:sz w:val="32"/>
        </w:rPr>
        <w:t xml:space="preserve">5.  </w:t>
      </w:r>
      <w:r>
        <w:rPr>
          <w:b/>
          <w:color w:val="1A1A2E"/>
          <w:sz w:val="32"/>
        </w:rPr>
        <w:t>Theme System (Light / Dark Mode)</w:t>
      </w:r>
    </w:p>
    <w:p>
      <w:pPr>
        <w:pBdr>
          <w:bottom w:val="single" w:sz="6" w:space="1" w:color="1A1A2E"/>
        </w:pBdr>
        <w:spacing w:before="0" w:after="0"/>
      </w:pPr>
    </w:p>
    <w:p>
      <w:pPr>
        <w:spacing w:before="0" w:after="100" w:line="280" w:lineRule="exact"/>
      </w:pPr>
      <w:r>
        <w:rPr>
          <w:color w:val="141414"/>
          <w:sz w:val="22"/>
        </w:rPr>
        <w:t>NodeAxis provides a first-class theming experience, allowing users to toggle between a dark mode (default) and a light mode presentation of the website. The preference is automatically saved to the user's browser and will persist across future visits.</w:t>
      </w:r>
    </w:p>
    <w:p>
      <w:pPr>
        <w:spacing w:before="200" w:after="60"/>
      </w:pPr>
      <w:r>
        <w:rPr>
          <w:b/>
          <w:color w:val="1A1A2E"/>
          <w:sz w:val="24"/>
        </w:rPr>
        <w:t>5.1  Switching Themes</w:t>
      </w:r>
    </w:p>
    <w:p>
      <w:pPr>
        <w:spacing w:before="0" w:after="100" w:line="280" w:lineRule="exact"/>
      </w:pPr>
      <w:r>
        <w:rPr>
          <w:color w:val="141414"/>
          <w:sz w:val="22"/>
        </w:rPr>
        <w:t>The theme toggle control is located in the top-right area of the navigation bar, represented by a sun icon (light mode) or moon icon (dark mode). Clicking the icon immediately applies the corresponding theme across the entire site with no page reload required.</w:t>
      </w:r>
    </w:p>
    <w:p>
      <w:pPr>
        <w:spacing w:before="200" w:after="60"/>
      </w:pPr>
      <w:r>
        <w:rPr>
          <w:b/>
          <w:color w:val="1A1A2E"/>
          <w:sz w:val="24"/>
        </w:rPr>
        <w:t>5.2  Default Behavior</w:t>
      </w:r>
    </w:p>
    <w:p>
      <w:pPr>
        <w:spacing w:before="0" w:after="100" w:line="280" w:lineRule="exact"/>
      </w:pPr>
      <w:r>
        <w:rPr>
          <w:color w:val="141414"/>
          <w:sz w:val="22"/>
        </w:rPr>
        <w:t>The website defaults to dark mode on all first visits. If a user has previously set a preference, that stored preference is applied instantly on page load — before the browser renders any content — eliminating any visual flash between themes.</w:t>
      </w:r>
    </w:p>
    <w:p>
      <w:pPr>
        <w:spacing w:before="120" w:after="120"/>
        <w:ind w:left="360" w:right="360"/>
      </w:pPr>
      <w:r>
        <w:rPr>
          <w:b/>
          <w:color w:val="4E9FFF"/>
          <w:sz w:val="20"/>
        </w:rPr>
        <w:t xml:space="preserve">NOTE:  </w:t>
      </w:r>
      <w:r>
        <w:rPr>
          <w:i/>
          <w:color w:val="646473"/>
          <w:sz w:val="20"/>
        </w:rPr>
        <w:t>Theme preference is stored in the user's browser localStorage under the key 'nodeaxis-theme'. Clearing browser data will reset the preference to dark mode.</w:t>
      </w:r>
    </w:p>
    <w:p>
      <w:pPr>
        <w:spacing w:before="280" w:after="80"/>
      </w:pPr>
      <w:r>
        <w:rPr>
          <w:b/>
          <w:color w:val="4E9FFF"/>
          <w:sz w:val="32"/>
        </w:rPr>
        <w:t xml:space="preserve">6.  </w:t>
      </w:r>
      <w:r>
        <w:rPr>
          <w:b/>
          <w:color w:val="1A1A2E"/>
          <w:sz w:val="32"/>
        </w:rPr>
        <w:t>Contact &amp; Inquiry Process</w:t>
      </w:r>
    </w:p>
    <w:p>
      <w:pPr>
        <w:pBdr>
          <w:bottom w:val="single" w:sz="6" w:space="1" w:color="1A1A2E"/>
        </w:pBdr>
        <w:spacing w:before="0" w:after="0"/>
      </w:pPr>
    </w:p>
    <w:p>
      <w:pPr>
        <w:spacing w:before="0" w:after="100" w:line="280" w:lineRule="exact"/>
      </w:pPr>
      <w:r>
        <w:rPr>
          <w:color w:val="141414"/>
          <w:sz w:val="22"/>
        </w:rPr>
        <w:t>NodeAxis welcomes project inquiries, partnership discussions, and general questions through the Contact page. The following outlines the standard inquiry workflow.</w:t>
      </w:r>
    </w:p>
    <w:p>
      <w:pPr>
        <w:spacing w:before="200" w:after="60"/>
      </w:pPr>
      <w:r>
        <w:rPr>
          <w:b/>
          <w:color w:val="1A1A2E"/>
          <w:sz w:val="24"/>
        </w:rPr>
        <w:t>6.1  Submitting an Inquiry</w:t>
      </w:r>
    </w:p>
    <w:p>
      <w:pPr>
        <w:spacing w:before="0" w:after="100" w:line="280" w:lineRule="exact"/>
      </w:pPr>
      <w:r>
        <w:rPr>
          <w:color w:val="141414"/>
          <w:sz w:val="22"/>
        </w:rPr>
        <w:t>To submit an inquiry via the website contact form:</w:t>
      </w:r>
    </w:p>
    <w:p>
      <w:pPr>
        <w:spacing w:before="40" w:after="40"/>
        <w:ind w:left="360"/>
      </w:pPr>
      <w:r>
        <w:rPr>
          <w:b/>
          <w:color w:val="4E9FFF"/>
          <w:sz w:val="22"/>
        </w:rPr>
        <w:t xml:space="preserve">1.  </w:t>
      </w:r>
      <w:r>
        <w:rPr>
          <w:color w:val="141414"/>
          <w:sz w:val="22"/>
        </w:rPr>
        <w:t>Navigate to the Contact page via the top navigation bar or any Call-to-Action button on the site.</w:t>
      </w:r>
    </w:p>
    <w:p>
      <w:pPr>
        <w:spacing w:before="40" w:after="40"/>
        <w:ind w:left="360"/>
      </w:pPr>
      <w:r>
        <w:rPr>
          <w:b/>
          <w:color w:val="4E9FFF"/>
          <w:sz w:val="22"/>
        </w:rPr>
        <w:t xml:space="preserve">2.  </w:t>
      </w:r>
      <w:r>
        <w:rPr>
          <w:color w:val="141414"/>
          <w:sz w:val="22"/>
        </w:rPr>
        <w:t>Complete all required fields in the inquiry form: Full Name, Email Address, and Message.</w:t>
      </w:r>
    </w:p>
    <w:p>
      <w:pPr>
        <w:spacing w:before="40" w:after="40"/>
        <w:ind w:left="360"/>
      </w:pPr>
      <w:r>
        <w:rPr>
          <w:b/>
          <w:color w:val="4E9FFF"/>
          <w:sz w:val="22"/>
        </w:rPr>
        <w:t xml:space="preserve">3.  </w:t>
      </w:r>
      <w:r>
        <w:rPr>
          <w:color w:val="141414"/>
          <w:sz w:val="22"/>
        </w:rPr>
        <w:t>Optionally include details about your project, timeline, and budget to expedite the initial response.</w:t>
      </w:r>
    </w:p>
    <w:p>
      <w:pPr>
        <w:spacing w:before="40" w:after="40"/>
        <w:ind w:left="360"/>
      </w:pPr>
      <w:r>
        <w:rPr>
          <w:b/>
          <w:color w:val="4E9FFF"/>
          <w:sz w:val="22"/>
        </w:rPr>
        <w:t xml:space="preserve">4.  </w:t>
      </w:r>
      <w:r>
        <w:rPr>
          <w:color w:val="141414"/>
          <w:sz w:val="22"/>
        </w:rPr>
        <w:t>Select 'Submit' to send your inquiry to the NodeAxis team.</w:t>
      </w:r>
    </w:p>
    <w:p>
      <w:pPr>
        <w:spacing w:before="40" w:after="40"/>
        <w:ind w:left="360"/>
      </w:pPr>
      <w:r>
        <w:rPr>
          <w:b/>
          <w:color w:val="4E9FFF"/>
          <w:sz w:val="22"/>
        </w:rPr>
        <w:t xml:space="preserve">5.  </w:t>
      </w:r>
      <w:r>
        <w:rPr>
          <w:color w:val="141414"/>
          <w:sz w:val="22"/>
        </w:rPr>
        <w:t>A confirmation will be issued to the email address provided upon successful submission.</w:t>
      </w:r>
    </w:p>
    <w:p>
      <w:pPr>
        <w:spacing w:before="200" w:after="60"/>
      </w:pPr>
      <w:r>
        <w:rPr>
          <w:b/>
          <w:color w:val="1A1A2E"/>
          <w:sz w:val="24"/>
        </w:rPr>
        <w:t>6.2  Scheduling a Discovery Call</w:t>
      </w:r>
    </w:p>
    <w:p>
      <w:pPr>
        <w:spacing w:before="0" w:after="100" w:line="280" w:lineRule="exact"/>
      </w:pPr>
      <w:r>
        <w:rPr>
          <w:color w:val="141414"/>
          <w:sz w:val="22"/>
        </w:rPr>
        <w:t>In addition to the contact form, the Contact page provides integrated calendar scheduling functionality via Calendly. Prospective clients may book a complimentary 30-minute discovery call directly from the website. Available time slots reflect the NodeAxis team's current calendar in real time.</w:t>
      </w:r>
    </w:p>
    <w:p>
      <w:pPr>
        <w:spacing w:before="200" w:after="60"/>
      </w:pPr>
      <w:r>
        <w:rPr>
          <w:b/>
          <w:color w:val="1A1A2E"/>
          <w:sz w:val="24"/>
        </w:rPr>
        <w:t>6.3  Response Times</w:t>
      </w:r>
    </w:p>
    <w:p>
      <w:pPr>
        <w:spacing w:before="0" w:after="100" w:line="280" w:lineRule="exact"/>
      </w:pPr>
      <w:r>
        <w:rPr>
          <w:color w:val="141414"/>
          <w:sz w:val="22"/>
        </w:rPr>
        <w:t>NodeAxis aims to respond to all website inquiries within one (1) to two (2) business days. Inquiries submitted on weekends or public holidays will receive a response on the next available business day.</w:t>
      </w:r>
    </w:p>
    <w:p>
      <w:pPr>
        <w:spacing w:before="280" w:after="80"/>
      </w:pPr>
      <w:r>
        <w:rPr>
          <w:b/>
          <w:color w:val="4E9FFF"/>
          <w:sz w:val="32"/>
        </w:rPr>
        <w:t xml:space="preserve">7.  </w:t>
      </w:r>
      <w:r>
        <w:rPr>
          <w:b/>
          <w:color w:val="1A1A2E"/>
          <w:sz w:val="32"/>
        </w:rPr>
        <w:t>Project Portfolio</w:t>
      </w:r>
    </w:p>
    <w:p>
      <w:pPr>
        <w:pBdr>
          <w:bottom w:val="single" w:sz="6" w:space="1" w:color="1A1A2E"/>
        </w:pBdr>
        <w:spacing w:before="0" w:after="0"/>
      </w:pPr>
    </w:p>
    <w:p>
      <w:pPr>
        <w:spacing w:before="0" w:after="100" w:line="280" w:lineRule="exact"/>
      </w:pPr>
      <w:r>
        <w:rPr>
          <w:color w:val="141414"/>
          <w:sz w:val="22"/>
        </w:rPr>
        <w:t>The NodeAxis project portfolio is a curated showcase of completed client engagements and internal work. It is designed to demonstrate the agency's range, quality standards, and domain expertise across industries and disciplines.</w:t>
      </w:r>
    </w:p>
    <w:p>
      <w:pPr>
        <w:spacing w:before="200" w:after="60"/>
      </w:pPr>
      <w:r>
        <w:rPr>
          <w:b/>
          <w:color w:val="1A1A2E"/>
          <w:sz w:val="24"/>
        </w:rPr>
        <w:t>7.1  Viewing Projects</w:t>
      </w:r>
    </w:p>
    <w:p>
      <w:pPr>
        <w:spacing w:before="0" w:after="100" w:line="280" w:lineRule="exact"/>
      </w:pPr>
      <w:r>
        <w:rPr>
          <w:color w:val="141414"/>
          <w:sz w:val="22"/>
        </w:rPr>
        <w:t>Projects are displayed as visual cards on the Work page. Each card shows a representative image or visual, the project title, and a service category tag. Clicking on a project card navigates to the full case study page for that project.</w:t>
      </w:r>
    </w:p>
    <w:p>
      <w:pPr>
        <w:spacing w:before="200" w:after="60"/>
      </w:pPr>
      <w:r>
        <w:rPr>
          <w:b/>
          <w:color w:val="1A1A2E"/>
          <w:sz w:val="24"/>
        </w:rPr>
        <w:t>7.2  Case Study Content</w:t>
      </w:r>
    </w:p>
    <w:p>
      <w:pPr>
        <w:spacing w:before="0" w:after="100" w:line="280" w:lineRule="exact"/>
      </w:pPr>
      <w:r>
        <w:rPr>
          <w:color w:val="141414"/>
          <w:sz w:val="22"/>
        </w:rPr>
        <w:t>Each project case study page contains the following structured information:</w:t>
      </w:r>
    </w:p>
    <w:p>
      <w:pPr>
        <w:pStyle w:val="ListBullet"/>
        <w:spacing w:before="0" w:after="60"/>
        <w:ind w:left="360"/>
      </w:pPr>
      <w:r>
        <w:rPr>
          <w:color w:val="141414"/>
          <w:sz w:val="22"/>
        </w:rPr>
        <w:t>Project title and client industry</w:t>
      </w:r>
    </w:p>
    <w:p>
      <w:pPr>
        <w:pStyle w:val="ListBullet"/>
        <w:spacing w:before="0" w:after="60"/>
        <w:ind w:left="360"/>
      </w:pPr>
      <w:r>
        <w:rPr>
          <w:color w:val="141414"/>
          <w:sz w:val="22"/>
        </w:rPr>
        <w:t>Project background and objectives</w:t>
      </w:r>
    </w:p>
    <w:p>
      <w:pPr>
        <w:pStyle w:val="ListBullet"/>
        <w:spacing w:before="0" w:after="60"/>
        <w:ind w:left="360"/>
      </w:pPr>
      <w:r>
        <w:rPr>
          <w:color w:val="141414"/>
          <w:sz w:val="22"/>
        </w:rPr>
        <w:t>Services delivered and technologies used</w:t>
      </w:r>
    </w:p>
    <w:p>
      <w:pPr>
        <w:pStyle w:val="ListBullet"/>
        <w:spacing w:before="0" w:after="60"/>
        <w:ind w:left="360"/>
      </w:pPr>
      <w:r>
        <w:rPr>
          <w:color w:val="141414"/>
          <w:sz w:val="22"/>
        </w:rPr>
        <w:t>Visual media — screenshots, mockups, and design assets</w:t>
      </w:r>
    </w:p>
    <w:p>
      <w:pPr>
        <w:pStyle w:val="ListBullet"/>
        <w:spacing w:before="0" w:after="60"/>
        <w:ind w:left="360"/>
      </w:pPr>
      <w:r>
        <w:rPr>
          <w:color w:val="141414"/>
          <w:sz w:val="22"/>
        </w:rPr>
        <w:t>Outcomes and results where applicable</w:t>
      </w:r>
    </w:p>
    <w:p>
      <w:pPr>
        <w:spacing w:before="200" w:after="60"/>
      </w:pPr>
      <w:r>
        <w:rPr>
          <w:b/>
          <w:color w:val="1A1A2E"/>
          <w:sz w:val="24"/>
        </w:rPr>
        <w:t>7.3  Portfolio Currency</w:t>
      </w:r>
    </w:p>
    <w:p>
      <w:pPr>
        <w:spacing w:before="0" w:after="100" w:line="280" w:lineRule="exact"/>
      </w:pPr>
      <w:r>
        <w:rPr>
          <w:color w:val="141414"/>
          <w:sz w:val="22"/>
        </w:rPr>
        <w:t>The NodeAxis portfolio is updated on a rolling basis as new client engagements are completed and approved for public display. Not all completed projects are listed publicly; some client engagements remain confidential at the client's request.</w:t>
      </w:r>
    </w:p>
    <w:p>
      <w:pPr>
        <w:spacing w:before="280" w:after="80"/>
      </w:pPr>
      <w:r>
        <w:rPr>
          <w:b/>
          <w:color w:val="4E9FFF"/>
          <w:sz w:val="32"/>
        </w:rPr>
        <w:t xml:space="preserve">8.  </w:t>
      </w:r>
      <w:r>
        <w:rPr>
          <w:b/>
          <w:color w:val="1A1A2E"/>
          <w:sz w:val="32"/>
        </w:rPr>
        <w:t>Accessibility &amp; Performance</w:t>
      </w:r>
    </w:p>
    <w:p>
      <w:pPr>
        <w:pBdr>
          <w:bottom w:val="single" w:sz="6" w:space="1" w:color="1A1A2E"/>
        </w:pBdr>
        <w:spacing w:before="0" w:after="0"/>
      </w:pPr>
    </w:p>
    <w:p>
      <w:pPr>
        <w:spacing w:before="200" w:after="60"/>
      </w:pPr>
      <w:r>
        <w:rPr>
          <w:b/>
          <w:color w:val="1A1A2E"/>
          <w:sz w:val="24"/>
        </w:rPr>
        <w:t>8.1  Accessibility Commitment</w:t>
      </w:r>
    </w:p>
    <w:p>
      <w:pPr>
        <w:spacing w:before="0" w:after="100" w:line="280" w:lineRule="exact"/>
      </w:pPr>
      <w:r>
        <w:rPr>
          <w:color w:val="141414"/>
          <w:sz w:val="22"/>
        </w:rPr>
        <w:t>NodeAxis is committed to making its website accessible to all users, including those with disabilities. The website is developed in alignment with WCAG 2.1 Level AA accessibility guidelines, encompassing keyboard navigation support, appropriate color contrast ratios, semantic HTML structure, and screen reader compatibility.</w:t>
      </w:r>
    </w:p>
    <w:p>
      <w:pPr>
        <w:spacing w:before="200" w:after="60"/>
      </w:pPr>
      <w:r>
        <w:rPr>
          <w:b/>
          <w:color w:val="1A1A2E"/>
          <w:sz w:val="24"/>
        </w:rPr>
        <w:t>8.2  Reduced Motion</w:t>
      </w:r>
    </w:p>
    <w:p>
      <w:pPr>
        <w:spacing w:before="0" w:after="100" w:line="280" w:lineRule="exact"/>
      </w:pPr>
      <w:r>
        <w:rPr>
          <w:color w:val="141414"/>
          <w:sz w:val="22"/>
        </w:rPr>
        <w:t>Users with vestibular disorders or sensitivity to motion may enable the 'Prefers Reduced Motion' setting in their operating system. The NodeAxis website detects this system preference and minimizes or disables animation effects accordingly.</w:t>
      </w:r>
    </w:p>
    <w:p>
      <w:pPr>
        <w:spacing w:before="200" w:after="60"/>
      </w:pPr>
      <w:r>
        <w:rPr>
          <w:b/>
          <w:color w:val="1A1A2E"/>
          <w:sz w:val="24"/>
        </w:rPr>
        <w:t>8.3  Performance Standards</w:t>
      </w:r>
    </w:p>
    <w:p>
      <w:pPr>
        <w:spacing w:before="0" w:after="100" w:line="280" w:lineRule="exact"/>
      </w:pPr>
      <w:r>
        <w:rPr>
          <w:color w:val="141414"/>
          <w:sz w:val="22"/>
        </w:rPr>
        <w:t>The website targets the following performance benchmarks on every deployment:</w:t>
      </w:r>
    </w:p>
    <w:tbl>
      <w:tblPr>
        <w:tblStyle w:val="TableGrid"/>
        <w:tblW w:type="auto" w:w="0"/>
        <w:tblLook w:firstColumn="1" w:firstRow="1" w:lastColumn="0" w:lastRow="0" w:noHBand="0" w:noVBand="1" w:val="04A0"/>
      </w:tblPr>
      <w:tblGrid>
        <w:gridCol w:w="4419"/>
        <w:gridCol w:w="4419"/>
      </w:tblGrid>
      <w:tr>
        <w:tc>
          <w:tcPr>
            <w:tcW w:type="dxa" w:w="4419"/>
          </w:tcPr>
          <w:p>
            <w:pPr>
              <w:spacing w:before="60" w:after="60"/>
              <w:ind w:left="100"/>
            </w:pPr>
            <w:r>
              <w:rPr>
                <w:b/>
                <w:color w:val="1A1A2E"/>
                <w:sz w:val="20"/>
              </w:rPr>
              <w:t>Performance Score</w:t>
            </w:r>
          </w:p>
        </w:tc>
        <w:tc>
          <w:tcPr>
            <w:tcW w:type="dxa" w:w="4419"/>
          </w:tcPr>
          <w:p>
            <w:pPr>
              <w:spacing w:before="60" w:after="60"/>
              <w:ind w:left="100"/>
            </w:pPr>
            <w:r>
              <w:rPr>
                <w:color w:val="141414"/>
                <w:sz w:val="20"/>
              </w:rPr>
              <w:t>≥ 90 / 100 (Google Lighthouse)</w:t>
            </w:r>
          </w:p>
        </w:tc>
      </w:tr>
      <w:tr>
        <w:tc>
          <w:tcPr>
            <w:tcW w:type="dxa" w:w="4419"/>
          </w:tcPr>
          <w:p>
            <w:pPr>
              <w:spacing w:before="60" w:after="60"/>
              <w:ind w:left="100"/>
            </w:pPr>
            <w:r>
              <w:rPr>
                <w:b/>
                <w:color w:val="1A1A2E"/>
                <w:sz w:val="20"/>
              </w:rPr>
              <w:t>Accessibility Score</w:t>
            </w:r>
          </w:p>
        </w:tc>
        <w:tc>
          <w:tcPr>
            <w:tcW w:type="dxa" w:w="4419"/>
          </w:tcPr>
          <w:p>
            <w:pPr>
              <w:spacing w:before="60" w:after="60"/>
              <w:ind w:left="100"/>
            </w:pPr>
            <w:r>
              <w:rPr>
                <w:color w:val="141414"/>
                <w:sz w:val="20"/>
              </w:rPr>
              <w:t>≥ 95 / 100 (Google Lighthouse)</w:t>
            </w:r>
          </w:p>
        </w:tc>
      </w:tr>
      <w:tr>
        <w:tc>
          <w:tcPr>
            <w:tcW w:type="dxa" w:w="4419"/>
          </w:tcPr>
          <w:p>
            <w:pPr>
              <w:spacing w:before="60" w:after="60"/>
              <w:ind w:left="100"/>
            </w:pPr>
            <w:r>
              <w:rPr>
                <w:b/>
                <w:color w:val="1A1A2E"/>
                <w:sz w:val="20"/>
              </w:rPr>
              <w:t>SEO Score</w:t>
            </w:r>
          </w:p>
        </w:tc>
        <w:tc>
          <w:tcPr>
            <w:tcW w:type="dxa" w:w="4419"/>
          </w:tcPr>
          <w:p>
            <w:pPr>
              <w:spacing w:before="60" w:after="60"/>
              <w:ind w:left="100"/>
            </w:pPr>
            <w:r>
              <w:rPr>
                <w:color w:val="141414"/>
                <w:sz w:val="20"/>
              </w:rPr>
              <w:t>100 / 100 (Google Lighthouse)</w:t>
            </w:r>
          </w:p>
        </w:tc>
      </w:tr>
      <w:tr>
        <w:tc>
          <w:tcPr>
            <w:tcW w:type="dxa" w:w="4419"/>
          </w:tcPr>
          <w:p>
            <w:pPr>
              <w:spacing w:before="60" w:after="60"/>
              <w:ind w:left="100"/>
            </w:pPr>
            <w:r>
              <w:rPr>
                <w:b/>
                <w:color w:val="1A1A2E"/>
                <w:sz w:val="20"/>
              </w:rPr>
              <w:t>Best Practices Score</w:t>
            </w:r>
          </w:p>
        </w:tc>
        <w:tc>
          <w:tcPr>
            <w:tcW w:type="dxa" w:w="4419"/>
          </w:tcPr>
          <w:p>
            <w:pPr>
              <w:spacing w:before="60" w:after="60"/>
              <w:ind w:left="100"/>
            </w:pPr>
            <w:r>
              <w:rPr>
                <w:color w:val="141414"/>
                <w:sz w:val="20"/>
              </w:rPr>
              <w:t>≥ 90 / 100 (Google Lighthouse)</w:t>
            </w:r>
          </w:p>
        </w:tc>
      </w:tr>
      <w:tr>
        <w:tc>
          <w:tcPr>
            <w:tcW w:type="dxa" w:w="4419"/>
          </w:tcPr>
          <w:p>
            <w:pPr>
              <w:spacing w:before="60" w:after="60"/>
              <w:ind w:left="100"/>
            </w:pPr>
            <w:r>
              <w:rPr>
                <w:b/>
                <w:color w:val="1A1A2E"/>
                <w:sz w:val="20"/>
              </w:rPr>
              <w:t>Core Web Vitals</w:t>
            </w:r>
          </w:p>
        </w:tc>
        <w:tc>
          <w:tcPr>
            <w:tcW w:type="dxa" w:w="4419"/>
          </w:tcPr>
          <w:p>
            <w:pPr>
              <w:spacing w:before="60" w:after="60"/>
              <w:ind w:left="100"/>
            </w:pPr>
            <w:r>
              <w:rPr>
                <w:color w:val="141414"/>
                <w:sz w:val="20"/>
              </w:rPr>
              <w:t>All metrics in 'Good' threshold</w:t>
            </w:r>
          </w:p>
        </w:tc>
      </w:tr>
    </w:tbl>
    <w:p/>
    <w:p>
      <w:pPr>
        <w:spacing w:before="280" w:after="80"/>
      </w:pPr>
      <w:r>
        <w:rPr>
          <w:b/>
          <w:color w:val="4E9FFF"/>
          <w:sz w:val="32"/>
        </w:rPr>
        <w:t xml:space="preserve">9.  </w:t>
      </w:r>
      <w:r>
        <w:rPr>
          <w:b/>
          <w:color w:val="1A1A2E"/>
          <w:sz w:val="32"/>
        </w:rPr>
        <w:t>Browser &amp; Device Compatibility</w:t>
      </w:r>
    </w:p>
    <w:p>
      <w:pPr>
        <w:pBdr>
          <w:bottom w:val="single" w:sz="6" w:space="1" w:color="1A1A2E"/>
        </w:pBdr>
        <w:spacing w:before="0" w:after="0"/>
      </w:pPr>
    </w:p>
    <w:p>
      <w:pPr>
        <w:spacing w:before="0" w:after="100" w:line="280" w:lineRule="exact"/>
      </w:pPr>
      <w:r>
        <w:rPr>
          <w:color w:val="141414"/>
          <w:sz w:val="22"/>
        </w:rPr>
        <w:t>The NodeAxis website is engineered for broad compatibility across modern browsers and device categories. The following environments are officially supported:</w:t>
      </w:r>
    </w:p>
    <w:tbl>
      <w:tblPr>
        <w:tblStyle w:val="TableGrid"/>
        <w:tblW w:type="auto" w:w="0"/>
        <w:tblLook w:firstColumn="1" w:firstRow="1" w:lastColumn="0" w:lastRow="0" w:noHBand="0" w:noVBand="1" w:val="04A0"/>
      </w:tblPr>
      <w:tblGrid>
        <w:gridCol w:w="2946"/>
        <w:gridCol w:w="2946"/>
        <w:gridCol w:w="2946"/>
      </w:tblGrid>
      <w:tr>
        <w:tc>
          <w:tcPr>
            <w:tcW w:type="dxa" w:w="2946"/>
          </w:tcPr>
          <w:p>
            <w:pPr>
              <w:spacing w:before="60" w:after="60"/>
              <w:ind w:left="100"/>
            </w:pPr>
            <w:r>
              <w:rPr>
                <w:b/>
                <w:color w:val="1A1A2E"/>
                <w:sz w:val="20"/>
              </w:rPr>
              <w:t>Browser / Environment</w:t>
            </w:r>
          </w:p>
        </w:tc>
        <w:tc>
          <w:tcPr>
            <w:tcW w:type="dxa" w:w="2946"/>
          </w:tcPr>
          <w:p>
            <w:pPr>
              <w:spacing w:before="60" w:after="60"/>
              <w:ind w:left="100"/>
            </w:pPr>
            <w:r>
              <w:rPr>
                <w:b/>
                <w:color w:val="1A1A2E"/>
                <w:sz w:val="20"/>
              </w:rPr>
              <w:t>Support Level</w:t>
            </w:r>
          </w:p>
        </w:tc>
        <w:tc>
          <w:tcPr>
            <w:tcW w:type="dxa" w:w="2946"/>
          </w:tcPr>
          <w:p>
            <w:pPr>
              <w:spacing w:before="60" w:after="60"/>
              <w:ind w:left="100"/>
            </w:pPr>
            <w:r>
              <w:rPr>
                <w:b/>
                <w:color w:val="1A1A2E"/>
                <w:sz w:val="20"/>
              </w:rPr>
              <w:t>Notes</w:t>
            </w:r>
          </w:p>
        </w:tc>
      </w:tr>
      <w:tr>
        <w:tc>
          <w:tcPr>
            <w:tcW w:type="dxa" w:w="2946"/>
          </w:tcPr>
          <w:p>
            <w:pPr>
              <w:spacing w:before="60" w:after="60"/>
              <w:ind w:left="100"/>
            </w:pPr>
            <w:r>
              <w:rPr>
                <w:b w:val="0"/>
                <w:color w:val="141414"/>
                <w:sz w:val="20"/>
              </w:rPr>
              <w:t>Google Chrome (latest)</w:t>
            </w:r>
          </w:p>
        </w:tc>
        <w:tc>
          <w:tcPr>
            <w:tcW w:type="dxa" w:w="2946"/>
          </w:tcPr>
          <w:p>
            <w:pPr>
              <w:spacing w:before="60" w:after="60"/>
              <w:ind w:left="100"/>
            </w:pPr>
            <w:r>
              <w:rPr>
                <w:b w:val="0"/>
                <w:color w:val="141414"/>
                <w:sz w:val="20"/>
              </w:rPr>
              <w:t>Full</w:t>
            </w:r>
          </w:p>
        </w:tc>
        <w:tc>
          <w:tcPr>
            <w:tcW w:type="dxa" w:w="2946"/>
          </w:tcPr>
          <w:p>
            <w:pPr>
              <w:spacing w:before="60" w:after="60"/>
              <w:ind w:left="100"/>
            </w:pPr>
            <w:r>
              <w:rPr>
                <w:b w:val="0"/>
                <w:color w:val="141414"/>
                <w:sz w:val="20"/>
              </w:rPr>
              <w:t>Primary development target</w:t>
            </w:r>
          </w:p>
        </w:tc>
      </w:tr>
      <w:tr>
        <w:tc>
          <w:tcPr>
            <w:tcW w:type="dxa" w:w="2946"/>
          </w:tcPr>
          <w:p>
            <w:pPr>
              <w:spacing w:before="60" w:after="60"/>
              <w:ind w:left="100"/>
            </w:pPr>
            <w:r>
              <w:rPr>
                <w:b w:val="0"/>
                <w:color w:val="141414"/>
                <w:sz w:val="20"/>
              </w:rPr>
              <w:t>Mozilla Firefox (latest)</w:t>
            </w:r>
          </w:p>
        </w:tc>
        <w:tc>
          <w:tcPr>
            <w:tcW w:type="dxa" w:w="2946"/>
          </w:tcPr>
          <w:p>
            <w:pPr>
              <w:spacing w:before="60" w:after="60"/>
              <w:ind w:left="100"/>
            </w:pPr>
            <w:r>
              <w:rPr>
                <w:b w:val="0"/>
                <w:color w:val="141414"/>
                <w:sz w:val="20"/>
              </w:rPr>
              <w:t>Full</w:t>
            </w:r>
          </w:p>
        </w:tc>
        <w:tc>
          <w:tcPr>
            <w:tcW w:type="dxa" w:w="2946"/>
          </w:tcPr>
          <w:p>
            <w:pPr>
              <w:spacing w:before="60" w:after="60"/>
              <w:ind w:left="100"/>
            </w:pPr>
            <w:r>
              <w:rPr>
                <w:b w:val="0"/>
                <w:color w:val="141414"/>
                <w:sz w:val="20"/>
              </w:rPr>
              <w:t>Fully tested and supported</w:t>
            </w:r>
          </w:p>
        </w:tc>
      </w:tr>
      <w:tr>
        <w:tc>
          <w:tcPr>
            <w:tcW w:type="dxa" w:w="2946"/>
          </w:tcPr>
          <w:p>
            <w:pPr>
              <w:spacing w:before="60" w:after="60"/>
              <w:ind w:left="100"/>
            </w:pPr>
            <w:r>
              <w:rPr>
                <w:b w:val="0"/>
                <w:color w:val="141414"/>
                <w:sz w:val="20"/>
              </w:rPr>
              <w:t>Apple Safari (macOS)</w:t>
            </w:r>
          </w:p>
        </w:tc>
        <w:tc>
          <w:tcPr>
            <w:tcW w:type="dxa" w:w="2946"/>
          </w:tcPr>
          <w:p>
            <w:pPr>
              <w:spacing w:before="60" w:after="60"/>
              <w:ind w:left="100"/>
            </w:pPr>
            <w:r>
              <w:rPr>
                <w:b w:val="0"/>
                <w:color w:val="141414"/>
                <w:sz w:val="20"/>
              </w:rPr>
              <w:t>Full</w:t>
            </w:r>
          </w:p>
        </w:tc>
        <w:tc>
          <w:tcPr>
            <w:tcW w:type="dxa" w:w="2946"/>
          </w:tcPr>
          <w:p>
            <w:pPr>
              <w:spacing w:before="60" w:after="60"/>
              <w:ind w:left="100"/>
            </w:pPr>
            <w:r>
              <w:rPr>
                <w:b w:val="0"/>
                <w:color w:val="141414"/>
                <w:sz w:val="20"/>
              </w:rPr>
            </w:r>
          </w:p>
        </w:tc>
      </w:tr>
      <w:tr>
        <w:tc>
          <w:tcPr>
            <w:tcW w:type="dxa" w:w="2946"/>
          </w:tcPr>
          <w:p>
            <w:pPr>
              <w:spacing w:before="60" w:after="60"/>
              <w:ind w:left="100"/>
            </w:pPr>
            <w:r>
              <w:rPr>
                <w:b w:val="0"/>
                <w:color w:val="141414"/>
                <w:sz w:val="20"/>
              </w:rPr>
              <w:t>Apple Safari (iOS)</w:t>
            </w:r>
          </w:p>
        </w:tc>
        <w:tc>
          <w:tcPr>
            <w:tcW w:type="dxa" w:w="2946"/>
          </w:tcPr>
          <w:p>
            <w:pPr>
              <w:spacing w:before="60" w:after="60"/>
              <w:ind w:left="100"/>
            </w:pPr>
            <w:r>
              <w:rPr>
                <w:b w:val="0"/>
                <w:color w:val="141414"/>
                <w:sz w:val="20"/>
              </w:rPr>
              <w:t>Full</w:t>
            </w:r>
          </w:p>
        </w:tc>
        <w:tc>
          <w:tcPr>
            <w:tcW w:type="dxa" w:w="2946"/>
          </w:tcPr>
          <w:p>
            <w:pPr>
              <w:spacing w:before="60" w:after="60"/>
              <w:ind w:left="100"/>
            </w:pPr>
            <w:r>
              <w:rPr>
                <w:b w:val="0"/>
                <w:color w:val="141414"/>
                <w:sz w:val="20"/>
              </w:rPr>
              <w:t>Tested on iPhone and iPad</w:t>
            </w:r>
          </w:p>
        </w:tc>
      </w:tr>
      <w:tr>
        <w:tc>
          <w:tcPr>
            <w:tcW w:type="dxa" w:w="2946"/>
          </w:tcPr>
          <w:p>
            <w:pPr>
              <w:spacing w:before="60" w:after="60"/>
              <w:ind w:left="100"/>
            </w:pPr>
            <w:r>
              <w:rPr>
                <w:b w:val="0"/>
                <w:color w:val="141414"/>
                <w:sz w:val="20"/>
              </w:rPr>
              <w:t>Android Chrome</w:t>
            </w:r>
          </w:p>
        </w:tc>
        <w:tc>
          <w:tcPr>
            <w:tcW w:type="dxa" w:w="2946"/>
          </w:tcPr>
          <w:p>
            <w:pPr>
              <w:spacing w:before="60" w:after="60"/>
              <w:ind w:left="100"/>
            </w:pPr>
            <w:r>
              <w:rPr>
                <w:b w:val="0"/>
                <w:color w:val="141414"/>
                <w:sz w:val="20"/>
              </w:rPr>
              <w:t>Full</w:t>
            </w:r>
          </w:p>
        </w:tc>
        <w:tc>
          <w:tcPr>
            <w:tcW w:type="dxa" w:w="2946"/>
          </w:tcPr>
          <w:p>
            <w:pPr>
              <w:spacing w:before="60" w:after="60"/>
              <w:ind w:left="100"/>
            </w:pPr>
            <w:r>
              <w:rPr>
                <w:b w:val="0"/>
                <w:color w:val="141414"/>
                <w:sz w:val="20"/>
              </w:rPr>
              <w:t>Tested on Android devices</w:t>
            </w:r>
          </w:p>
        </w:tc>
      </w:tr>
      <w:tr>
        <w:tc>
          <w:tcPr>
            <w:tcW w:type="dxa" w:w="2946"/>
          </w:tcPr>
          <w:p>
            <w:pPr>
              <w:spacing w:before="60" w:after="60"/>
              <w:ind w:left="100"/>
            </w:pPr>
            <w:r>
              <w:rPr>
                <w:b w:val="0"/>
                <w:color w:val="141414"/>
                <w:sz w:val="20"/>
              </w:rPr>
              <w:t>Microsoft Edge (latest)</w:t>
            </w:r>
          </w:p>
        </w:tc>
        <w:tc>
          <w:tcPr>
            <w:tcW w:type="dxa" w:w="2946"/>
          </w:tcPr>
          <w:p>
            <w:pPr>
              <w:spacing w:before="60" w:after="60"/>
              <w:ind w:left="100"/>
            </w:pPr>
            <w:r>
              <w:rPr>
                <w:b w:val="0"/>
                <w:color w:val="141414"/>
                <w:sz w:val="20"/>
              </w:rPr>
              <w:t>Full</w:t>
            </w:r>
          </w:p>
        </w:tc>
        <w:tc>
          <w:tcPr>
            <w:tcW w:type="dxa" w:w="2946"/>
          </w:tcPr>
          <w:p>
            <w:pPr>
              <w:spacing w:before="60" w:after="60"/>
              <w:ind w:left="100"/>
            </w:pPr>
            <w:r>
              <w:rPr>
                <w:b w:val="0"/>
                <w:color w:val="141414"/>
                <w:sz w:val="20"/>
              </w:rPr>
              <w:t>Chromium-based; fully compatible</w:t>
            </w:r>
          </w:p>
        </w:tc>
      </w:tr>
    </w:tbl>
    <w:p/>
    <w:p>
      <w:pPr>
        <w:spacing w:before="120" w:after="120"/>
        <w:ind w:left="360" w:right="360"/>
      </w:pPr>
      <w:r>
        <w:rPr>
          <w:b/>
          <w:color w:val="4E9FFF"/>
          <w:sz w:val="20"/>
        </w:rPr>
        <w:t xml:space="preserve">NOTE:  </w:t>
      </w:r>
      <w:r>
        <w:rPr>
          <w:i/>
          <w:color w:val="646473"/>
          <w:sz w:val="20"/>
        </w:rPr>
        <w:t>Internet Explorer (all versions) is not supported. Users accessing the site via Internet Explorer may experience degraded or broken functionality.</w:t>
      </w:r>
    </w:p>
    <w:p>
      <w:pPr>
        <w:spacing w:before="280" w:after="80"/>
      </w:pPr>
      <w:r>
        <w:rPr>
          <w:b/>
          <w:color w:val="4E9FFF"/>
          <w:sz w:val="32"/>
        </w:rPr>
        <w:t xml:space="preserve">10.  </w:t>
      </w:r>
      <w:r>
        <w:rPr>
          <w:b/>
          <w:color w:val="1A1A2E"/>
          <w:sz w:val="32"/>
        </w:rPr>
        <w:t>Frequently Asked Questions</w:t>
      </w:r>
    </w:p>
    <w:p>
      <w:pPr>
        <w:pBdr>
          <w:bottom w:val="single" w:sz="6" w:space="1" w:color="1A1A2E"/>
        </w:pBdr>
        <w:spacing w:before="0" w:after="0"/>
      </w:pPr>
    </w:p>
    <w:p>
      <w:pPr>
        <w:spacing w:before="160" w:after="40"/>
        <w:ind w:left="240"/>
      </w:pPr>
      <w:r>
        <w:rPr>
          <w:b/>
          <w:color w:val="1A1A2E"/>
          <w:sz w:val="22"/>
        </w:rPr>
        <w:t>Q:  How do I get in touch with NodeAxis?</w:t>
      </w:r>
    </w:p>
    <w:p>
      <w:pPr>
        <w:spacing w:before="0" w:after="120"/>
        <w:ind w:left="480"/>
      </w:pPr>
      <w:r>
        <w:rPr>
          <w:color w:val="141414"/>
          <w:sz w:val="22"/>
        </w:rPr>
        <w:t>A:  Navigate to the Contact page via the top navigation bar and complete the inquiry form, or use the integrated scheduling tool to book a discovery call directly.</w:t>
      </w:r>
    </w:p>
    <w:p>
      <w:pPr>
        <w:spacing w:before="160" w:after="40"/>
        <w:ind w:left="240"/>
      </w:pPr>
      <w:r>
        <w:rPr>
          <w:b/>
          <w:color w:val="1A1A2E"/>
          <w:sz w:val="22"/>
        </w:rPr>
        <w:t>Q:  How quickly will I receive a response to my inquiry?</w:t>
      </w:r>
    </w:p>
    <w:p>
      <w:pPr>
        <w:spacing w:before="0" w:after="120"/>
        <w:ind w:left="480"/>
      </w:pPr>
      <w:r>
        <w:rPr>
          <w:color w:val="141414"/>
          <w:sz w:val="22"/>
        </w:rPr>
        <w:t>A:  NodeAxis responds to all website inquiries within one to two business days.</w:t>
      </w:r>
    </w:p>
    <w:p>
      <w:pPr>
        <w:spacing w:before="160" w:after="40"/>
        <w:ind w:left="240"/>
      </w:pPr>
      <w:r>
        <w:rPr>
          <w:b/>
          <w:color w:val="1A1A2E"/>
          <w:sz w:val="22"/>
        </w:rPr>
        <w:t>Q:  Can I view NodeAxis's previous work before reaching out?</w:t>
      </w:r>
    </w:p>
    <w:p>
      <w:pPr>
        <w:spacing w:before="0" w:after="120"/>
        <w:ind w:left="480"/>
      </w:pPr>
      <w:r>
        <w:rPr>
          <w:color w:val="141414"/>
          <w:sz w:val="22"/>
        </w:rPr>
        <w:t>A:  Yes. The Work page showcases a curated selection of completed projects. Each entry links to a full case study page with detailed project information.</w:t>
      </w:r>
    </w:p>
    <w:p>
      <w:pPr>
        <w:spacing w:before="160" w:after="40"/>
        <w:ind w:left="240"/>
      </w:pPr>
      <w:r>
        <w:rPr>
          <w:b/>
          <w:color w:val="1A1A2E"/>
          <w:sz w:val="22"/>
        </w:rPr>
        <w:t>Q:  Is my browser preference for light or dark mode saved?</w:t>
      </w:r>
    </w:p>
    <w:p>
      <w:pPr>
        <w:spacing w:before="0" w:after="120"/>
        <w:ind w:left="480"/>
      </w:pPr>
      <w:r>
        <w:rPr>
          <w:color w:val="141414"/>
          <w:sz w:val="22"/>
        </w:rPr>
        <w:t>A:  Yes. Your theme preference is stored in your browser and will be automatically applied on all future visits until you clear your browser data.</w:t>
      </w:r>
    </w:p>
    <w:p>
      <w:pPr>
        <w:spacing w:before="160" w:after="40"/>
        <w:ind w:left="240"/>
      </w:pPr>
      <w:r>
        <w:rPr>
          <w:b/>
          <w:color w:val="1A1A2E"/>
          <w:sz w:val="22"/>
        </w:rPr>
        <w:t>Q:  Does NodeAxis work with international clients?</w:t>
      </w:r>
    </w:p>
    <w:p>
      <w:pPr>
        <w:spacing w:before="0" w:after="120"/>
        <w:ind w:left="480"/>
      </w:pPr>
      <w:r>
        <w:rPr>
          <w:color w:val="141414"/>
          <w:sz w:val="22"/>
        </w:rPr>
        <w:t>A:  Yes. NodeAxis operates as a remote-first agency and works with clients globally. Discovery calls can be scheduled across time zones via the online booking system.</w:t>
      </w:r>
    </w:p>
    <w:p>
      <w:pPr>
        <w:spacing w:before="160" w:after="40"/>
        <w:ind w:left="240"/>
      </w:pPr>
      <w:r>
        <w:rPr>
          <w:b/>
          <w:color w:val="1A1A2E"/>
          <w:sz w:val="22"/>
        </w:rPr>
        <w:t>Q:  How do I report a technical issue with the website?</w:t>
      </w:r>
    </w:p>
    <w:p>
      <w:pPr>
        <w:spacing w:before="0" w:after="120"/>
        <w:ind w:left="480"/>
      </w:pPr>
      <w:r>
        <w:rPr>
          <w:color w:val="141414"/>
          <w:sz w:val="22"/>
        </w:rPr>
        <w:t>A:  Technical issues can be reported by contacting NodeAxis directly via the Contact page or by emailing the agency at the address listed in Section 11 of this document.</w:t>
      </w:r>
    </w:p>
    <w:p>
      <w:pPr>
        <w:spacing w:before="280" w:after="80"/>
      </w:pPr>
      <w:r>
        <w:rPr>
          <w:b/>
          <w:color w:val="4E9FFF"/>
          <w:sz w:val="32"/>
        </w:rPr>
        <w:t xml:space="preserve">11.  </w:t>
      </w:r>
      <w:r>
        <w:rPr>
          <w:b/>
          <w:color w:val="1A1A2E"/>
          <w:sz w:val="32"/>
        </w:rPr>
        <w:t>Support &amp; Contact Information</w:t>
      </w:r>
    </w:p>
    <w:p>
      <w:pPr>
        <w:pBdr>
          <w:bottom w:val="single" w:sz="6" w:space="1" w:color="1A1A2E"/>
        </w:pBdr>
        <w:spacing w:before="0" w:after="0"/>
      </w:pPr>
    </w:p>
    <w:p>
      <w:pPr>
        <w:spacing w:before="0" w:after="100" w:line="280" w:lineRule="exact"/>
      </w:pPr>
      <w:r>
        <w:rPr>
          <w:color w:val="141414"/>
          <w:sz w:val="22"/>
        </w:rPr>
        <w:t>For inquiries, support requests, project discussions, or general correspondence, please use the following channels:</w:t>
      </w:r>
    </w:p>
    <w:tbl>
      <w:tblPr>
        <w:tblStyle w:val="TableGrid"/>
        <w:tblW w:type="auto" w:w="0"/>
        <w:tblLook w:firstColumn="1" w:firstRow="1" w:lastColumn="0" w:lastRow="0" w:noHBand="0" w:noVBand="1" w:val="04A0"/>
      </w:tblPr>
      <w:tblGrid>
        <w:gridCol w:w="4419"/>
        <w:gridCol w:w="4419"/>
      </w:tblGrid>
      <w:tr>
        <w:tc>
          <w:tcPr>
            <w:tcW w:type="dxa" w:w="4419"/>
          </w:tcPr>
          <w:p>
            <w:pPr>
              <w:spacing w:before="60" w:after="60"/>
              <w:ind w:left="100"/>
            </w:pPr>
            <w:r>
              <w:rPr>
                <w:b/>
                <w:color w:val="1A1A2E"/>
                <w:sz w:val="20"/>
              </w:rPr>
              <w:t>Website</w:t>
            </w:r>
          </w:p>
        </w:tc>
        <w:tc>
          <w:tcPr>
            <w:tcW w:type="dxa" w:w="4419"/>
          </w:tcPr>
          <w:p>
            <w:pPr>
              <w:spacing w:before="60" w:after="60"/>
              <w:ind w:left="100"/>
            </w:pPr>
            <w:r>
              <w:rPr>
                <w:color w:val="141414"/>
                <w:sz w:val="20"/>
              </w:rPr>
              <w:t>www.nodeaxis.com</w:t>
            </w:r>
          </w:p>
        </w:tc>
      </w:tr>
      <w:tr>
        <w:tc>
          <w:tcPr>
            <w:tcW w:type="dxa" w:w="4419"/>
          </w:tcPr>
          <w:p>
            <w:pPr>
              <w:spacing w:before="60" w:after="60"/>
              <w:ind w:left="100"/>
            </w:pPr>
            <w:r>
              <w:rPr>
                <w:b/>
                <w:color w:val="1A1A2E"/>
                <w:sz w:val="20"/>
              </w:rPr>
              <w:t>Inquiry Form</w:t>
            </w:r>
          </w:p>
        </w:tc>
        <w:tc>
          <w:tcPr>
            <w:tcW w:type="dxa" w:w="4419"/>
          </w:tcPr>
          <w:p>
            <w:pPr>
              <w:spacing w:before="60" w:after="60"/>
              <w:ind w:left="100"/>
            </w:pPr>
            <w:r>
              <w:rPr>
                <w:color w:val="141414"/>
                <w:sz w:val="20"/>
              </w:rPr>
              <w:t>www.nodeaxis.com/contact</w:t>
            </w:r>
          </w:p>
        </w:tc>
      </w:tr>
      <w:tr>
        <w:tc>
          <w:tcPr>
            <w:tcW w:type="dxa" w:w="4419"/>
          </w:tcPr>
          <w:p>
            <w:pPr>
              <w:spacing w:before="60" w:after="60"/>
              <w:ind w:left="100"/>
            </w:pPr>
            <w:r>
              <w:rPr>
                <w:b/>
                <w:color w:val="1A1A2E"/>
                <w:sz w:val="20"/>
              </w:rPr>
              <w:t>Discovery Call</w:t>
            </w:r>
          </w:p>
        </w:tc>
        <w:tc>
          <w:tcPr>
            <w:tcW w:type="dxa" w:w="4419"/>
          </w:tcPr>
          <w:p>
            <w:pPr>
              <w:spacing w:before="60" w:after="60"/>
              <w:ind w:left="100"/>
            </w:pPr>
            <w:r>
              <w:rPr>
                <w:color w:val="141414"/>
                <w:sz w:val="20"/>
              </w:rPr>
              <w:t>Available via calendar booking on the Contact page</w:t>
            </w:r>
          </w:p>
        </w:tc>
      </w:tr>
      <w:tr>
        <w:tc>
          <w:tcPr>
            <w:tcW w:type="dxa" w:w="4419"/>
          </w:tcPr>
          <w:p>
            <w:pPr>
              <w:spacing w:before="60" w:after="60"/>
              <w:ind w:left="100"/>
            </w:pPr>
            <w:r>
              <w:rPr>
                <w:b/>
                <w:color w:val="1A1A2E"/>
                <w:sz w:val="20"/>
              </w:rPr>
              <w:t>Document Issues</w:t>
            </w:r>
          </w:p>
        </w:tc>
        <w:tc>
          <w:tcPr>
            <w:tcW w:type="dxa" w:w="4419"/>
          </w:tcPr>
          <w:p>
            <w:pPr>
              <w:spacing w:before="60" w:after="60"/>
              <w:ind w:left="100"/>
            </w:pPr>
            <w:r>
              <w:rPr>
                <w:color w:val="141414"/>
                <w:sz w:val="20"/>
              </w:rPr>
              <w:t>Report via the Contact page inquiry form</w:t>
            </w:r>
          </w:p>
        </w:tc>
      </w:tr>
    </w:tbl>
    <w:p/>
    <w:p>
      <w:pPr>
        <w:spacing w:before="280" w:after="80"/>
      </w:pPr>
      <w:r>
        <w:rPr>
          <w:b/>
          <w:color w:val="4E9FFF"/>
          <w:sz w:val="32"/>
        </w:rPr>
        <w:t xml:space="preserve">12.  </w:t>
      </w:r>
      <w:r>
        <w:rPr>
          <w:b/>
          <w:color w:val="1A1A2E"/>
          <w:sz w:val="32"/>
        </w:rPr>
        <w:t>Legal &amp; Copyright Notice</w:t>
      </w:r>
    </w:p>
    <w:p>
      <w:pPr>
        <w:pBdr>
          <w:bottom w:val="single" w:sz="6" w:space="1" w:color="1A1A2E"/>
        </w:pBdr>
        <w:spacing w:before="0" w:after="0"/>
      </w:pPr>
    </w:p>
    <w:p>
      <w:pPr>
        <w:spacing w:before="200" w:after="60"/>
      </w:pPr>
      <w:r>
        <w:rPr>
          <w:b/>
          <w:color w:val="1A1A2E"/>
          <w:sz w:val="24"/>
        </w:rPr>
        <w:t>12.1  Copyright</w:t>
      </w:r>
    </w:p>
    <w:p>
      <w:pPr>
        <w:spacing w:before="0" w:after="100" w:line="280" w:lineRule="exact"/>
      </w:pPr>
      <w:r>
        <w:rPr>
          <w:color w:val="141414"/>
          <w:sz w:val="22"/>
        </w:rPr>
        <w:t>© 2026 NodeAxis. All Rights Reserved. The NodeAxis name, logo, visual identity, website design, written content, code, and all associated intellectual property are the exclusive property of NodeAxis. Unauthorized reproduction, modification, distribution, transmission, republication, display, or performance of any content on this website or within this document is strictly prohibited without the prior written consent of NodeAxis.</w:t>
      </w:r>
    </w:p>
    <w:p>
      <w:pPr>
        <w:spacing w:before="200" w:after="60"/>
      </w:pPr>
      <w:r>
        <w:rPr>
          <w:b/>
          <w:color w:val="1A1A2E"/>
          <w:sz w:val="24"/>
        </w:rPr>
        <w:t>12.2  Trademark Notice</w:t>
      </w:r>
    </w:p>
    <w:p>
      <w:pPr>
        <w:spacing w:before="0" w:after="100" w:line="280" w:lineRule="exact"/>
      </w:pPr>
      <w:r>
        <w:rPr>
          <w:color w:val="141414"/>
          <w:sz w:val="22"/>
        </w:rPr>
        <w:t>"NodeAxis" and the NodeAxis logo are trademarks of NodeAxis. All other trademarks, service marks, product names, and company names or logos mentioned on the website are the property of their respective owners.</w:t>
      </w:r>
    </w:p>
    <w:p>
      <w:pPr>
        <w:spacing w:before="200" w:after="60"/>
      </w:pPr>
      <w:r>
        <w:rPr>
          <w:b/>
          <w:color w:val="1A1A2E"/>
          <w:sz w:val="24"/>
        </w:rPr>
        <w:t>12.3  Disclaimer</w:t>
      </w:r>
    </w:p>
    <w:p>
      <w:pPr>
        <w:spacing w:before="0" w:after="100" w:line="280" w:lineRule="exact"/>
      </w:pPr>
      <w:r>
        <w:rPr>
          <w:color w:val="141414"/>
          <w:sz w:val="22"/>
        </w:rPr>
        <w:t>The information contained within the NodeAxis website and this documentation is provided for general informational purposes only. NodeAxis makes no representations or warranties of any kind, express or implied, about the completeness, accuracy, or reliability of any information, content, or materials presented. Any reliance placed on such information is strictly at the user's own risk.</w:t>
      </w:r>
    </w:p>
    <w:p>
      <w:pPr>
        <w:spacing w:before="200" w:after="60"/>
      </w:pPr>
      <w:r>
        <w:rPr>
          <w:b/>
          <w:color w:val="1A1A2E"/>
          <w:sz w:val="24"/>
        </w:rPr>
        <w:t>12.4  Privacy</w:t>
      </w:r>
    </w:p>
    <w:p>
      <w:pPr>
        <w:spacing w:before="0" w:after="100" w:line="280" w:lineRule="exact"/>
      </w:pPr>
      <w:r>
        <w:rPr>
          <w:color w:val="141414"/>
          <w:sz w:val="22"/>
        </w:rPr>
        <w:t>NodeAxis respects the privacy of all website visitors. Information submitted through the contact inquiry form is used solely for the purpose of responding to the submitted inquiry and is not shared with third parties without explicit consent. NodeAxis does not engage in unsolicited commercial communications.</w:t>
      </w:r>
    </w:p>
    <w:p>
      <w:pPr>
        <w:spacing w:before="200" w:after="60"/>
      </w:pPr>
      <w:r>
        <w:rPr>
          <w:b/>
          <w:color w:val="1A1A2E"/>
          <w:sz w:val="24"/>
        </w:rPr>
        <w:t>12.5  Governing Law</w:t>
      </w:r>
    </w:p>
    <w:p>
      <w:pPr>
        <w:spacing w:before="0" w:after="100" w:line="280" w:lineRule="exact"/>
      </w:pPr>
      <w:r>
        <w:rPr>
          <w:color w:val="141414"/>
          <w:sz w:val="22"/>
        </w:rPr>
        <w:t>This documentation and all content published on the NodeAxis website are governed by applicable intellectual property law. Any disputes arising in connection with the use of the NodeAxis website shall be subject to the jurisdiction of the courts applicable to the registered place of business of NodeAxis.</w:t>
      </w:r>
    </w:p>
    <w:p>
      <w:r>
        <w:br w:type="page"/>
      </w:r>
    </w:p>
    <w:p/>
    <w:p/>
    <w:p/>
    <w:p>
      <w:pPr>
        <w:spacing w:before="0" w:after="160"/>
        <w:jc w:val="center"/>
      </w:pPr>
      <w:r>
        <w:rPr>
          <w:b/>
          <w:color w:val="646473"/>
          <w:sz w:val="26"/>
        </w:rPr>
        <w:t>— End of Document —</w:t>
      </w:r>
    </w:p>
    <w:p>
      <w:pPr>
        <w:pBdr>
          <w:bottom w:val="single" w:sz="6" w:space="1" w:color="1A1A2E"/>
        </w:pBdr>
        <w:spacing w:before="0" w:after="0"/>
      </w:pPr>
    </w:p>
    <w:p/>
    <w:p>
      <w:pPr>
        <w:spacing w:before="0" w:after="80"/>
        <w:jc w:val="center"/>
      </w:pPr>
      <w:r>
        <w:rPr>
          <w:color w:val="646473"/>
          <w:sz w:val="20"/>
        </w:rPr>
        <w:t>NodeAxis  ·  Official User Documentation  ·  Version 1.0</w:t>
      </w:r>
    </w:p>
    <w:p>
      <w:pPr>
        <w:spacing w:before="0" w:after="80"/>
        <w:jc w:val="center"/>
      </w:pPr>
      <w:r>
        <w:rPr>
          <w:color w:val="646473"/>
          <w:sz w:val="20"/>
        </w:rPr>
        <w:t>Issued: June 17, 2026</w:t>
      </w:r>
    </w:p>
    <w:p>
      <w:pPr>
        <w:spacing w:before="80" w:after="0"/>
        <w:jc w:val="center"/>
      </w:pPr>
      <w:r>
        <w:rPr>
          <w:b/>
          <w:color w:val="1A1A2E"/>
          <w:sz w:val="22"/>
        </w:rPr>
        <w:t>© 2026 NodeAxis. All Rights Reserved.</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