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A56A0"/>
          <w:sz w:val="36"/>
        </w:rPr>
        <w:t>CONTROL DIFUSO DE pH EN BIORREACTOR DE 50 L</w:t>
      </w:r>
    </w:p>
    <w:p>
      <w:pPr>
        <w:jc w:val="center"/>
      </w:pPr>
      <w:r>
        <w:rPr>
          <w:i/>
          <w:color w:val="2E75B6"/>
          <w:sz w:val="24"/>
        </w:rPr>
        <w:t>Sistema Mamdani SISO para hongos coprófilos</w:t>
      </w:r>
    </w:p>
    <w:p>
      <w:pPr>
        <w:jc w:val="center"/>
      </w:pPr>
      <w:r>
        <w:rPr>
          <w:color w:val="666666"/>
          <w:sz w:val="20"/>
        </w:rPr>
        <w:t>Trabajo Terminal II  ·  ESCOM-IPN  ·  Junio 2026</w:t>
      </w:r>
    </w:p>
    <w:p/>
    <w:p>
      <w:pPr>
        <w:spacing w:before="360" w:after="160"/>
      </w:pPr>
      <w:r>
        <w:rPr>
          <w:b/>
          <w:color w:val="1A56A0"/>
          <w:sz w:val="28"/>
        </w:rPr>
        <w:t>1. Descripción del Sistema</w:t>
      </w:r>
    </w:p>
    <w:p>
      <w:pPr>
        <w:spacing w:before="40" w:after="80"/>
      </w:pPr>
      <w:r>
        <w:rPr>
          <w:b w:val="0"/>
          <w:i w:val="0"/>
          <w:sz w:val="20"/>
        </w:rPr>
        <w:t>El sistema mantiene el pH de un biorreactor de 50 L en el rango operativo de hongos coprófilos (4.0–7.5 pH), con setpoint nominal de 7.0. El mecanismo de regulación es por dilución: se inyecta etanol al 95 % mediante una bomba peristáltica, desplazando parte del contenido ácido y subiendo el pH. No existe neutralización química, solo dilución.</w:t>
      </w:r>
    </w:p>
    <w:p>
      <w:pPr>
        <w:spacing w:before="40" w:after="80"/>
      </w:pPr>
      <w:r>
        <w:rPr>
          <w:b w:val="0"/>
          <w:i w:val="0"/>
          <w:sz w:val="20"/>
        </w:rPr>
        <w:t>Hardware: sensor de pH RK500-12 (RS-485/Modbus RTU), sensor de nivel radar XM125 (I²C 0x52), driver PCA9685, bomba neutralizadora (CH3+CH4), electroválvula de vaciado (CH8), burbujeo (CH2), Raspberry Pi.</w:t>
      </w:r>
    </w:p>
    <w:p>
      <w:pPr>
        <w:spacing w:before="360" w:after="160"/>
      </w:pPr>
      <w:r>
        <w:rPr>
          <w:b/>
          <w:color w:val="1A56A0"/>
          <w:sz w:val="28"/>
        </w:rPr>
        <w:t>2. Diseño del Controlador Difuso SISO</w:t>
      </w:r>
    </w:p>
    <w:p>
      <w:pPr>
        <w:spacing w:before="40" w:after="80"/>
      </w:pPr>
      <w:r>
        <w:rPr>
          <w:b w:val="0"/>
          <w:i w:val="0"/>
          <w:sz w:val="20"/>
        </w:rPr>
        <w:t>Controlador Mamdani SISO. Entrada: e = SP − pH (error). Salida: t_pulso ∈ [0, 10] s (escalado por K=2 → pulso real hasta 20 s). Desfusificación por centroide (71 puntos). Errores ≥ e_sat = 0.8 pH activan saturación directa a tp_max.</w:t>
      </w:r>
    </w:p>
    <w:p>
      <w:pPr>
        <w:spacing w:before="200" w:after="80"/>
      </w:pPr>
      <w:r>
        <w:rPr>
          <w:b/>
          <w:color w:val="2E75B6"/>
          <w:sz w:val="22"/>
        </w:rPr>
        <w:t>2.1 Funciones de membresía — Entrada (error, pH)</w:t>
      </w:r>
    </w:p>
    <w:p>
      <w:pPr>
        <w:spacing w:before="40" w:after="80"/>
      </w:pPr>
      <w:r>
        <w:rPr>
          <w:b w:val="0"/>
          <w:i/>
          <w:sz w:val="18"/>
        </w:rPr>
        <w:t>Rango: [0.0, 0.8] pH. Errores ≥ 0.8 pH activan saturación directa.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type="dxa" w:w="1417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51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701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Soporte</w:t>
            </w:r>
          </w:p>
        </w:tc>
        <w:tc>
          <w:tcPr>
            <w:tcW w:type="dxa" w:w="2835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[0.00, 0.00, 0.06]</w:t>
            </w:r>
          </w:p>
        </w:tc>
        <w:tc>
          <w:tcPr>
            <w:tcW w:type="dxa" w:w="170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[0.00, 0.06]</w:t>
            </w:r>
          </w:p>
        </w:tc>
        <w:tc>
          <w:tcPr>
            <w:tcW w:type="dxa" w:w="28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Error nulo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PE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[0.04, 0.15, 0.28]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[0.04, 0.28]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Error pequeño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ME</w:t>
            </w:r>
          </w:p>
        </w:tc>
        <w:tc>
          <w:tcPr>
            <w:tcW w:type="dxa" w:w="1417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[0.22, 0.35, 0.50]</w:t>
            </w:r>
          </w:p>
        </w:tc>
        <w:tc>
          <w:tcPr>
            <w:tcW w:type="dxa" w:w="170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[0.22, 0.50]</w:t>
            </w:r>
          </w:p>
        </w:tc>
        <w:tc>
          <w:tcPr>
            <w:tcW w:type="dxa" w:w="28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Error mediano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GE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[0.42, 0.58, 0.75]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[0.42, 0.75]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Error grande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MG</w:t>
            </w:r>
          </w:p>
        </w:tc>
        <w:tc>
          <w:tcPr>
            <w:tcW w:type="dxa" w:w="1417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Trapezoidal</w:t>
            </w:r>
          </w:p>
        </w:tc>
        <w:tc>
          <w:tcPr>
            <w:tcW w:type="dxa" w:w="255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[0.65, 0.80, 0.80, 0.80]</w:t>
            </w:r>
          </w:p>
        </w:tc>
        <w:tc>
          <w:tcPr>
            <w:tcW w:type="dxa" w:w="170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[0.65, 0.80]</w:t>
            </w:r>
          </w:p>
        </w:tc>
        <w:tc>
          <w:tcPr>
            <w:tcW w:type="dxa" w:w="28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Error muy grande → saturación</w:t>
            </w:r>
          </w:p>
        </w:tc>
      </w:tr>
    </w:tbl>
    <w:p>
      <w:pPr>
        <w:spacing w:before="40" w:after="80"/>
      </w:pPr>
      <w:r>
        <w:rPr>
          <w:b w:val="0"/>
          <w:i/>
          <w:sz w:val="18"/>
        </w:rPr>
        <w:t>Tabla 1. Funciones de membresía — entrada (error de pH)</w:t>
      </w:r>
    </w:p>
    <w:p/>
    <w:p>
      <w:pPr>
        <w:spacing w:before="200" w:after="80"/>
      </w:pPr>
      <w:r>
        <w:rPr>
          <w:b/>
          <w:color w:val="2E75B6"/>
          <w:sz w:val="22"/>
        </w:rPr>
        <w:t>2.2 Funciones de membresía — Salida (t_pulso, s)</w:t>
      </w:r>
    </w:p>
    <w:p>
      <w:pPr>
        <w:spacing w:before="40" w:after="80"/>
      </w:pPr>
      <w:r>
        <w:rPr>
          <w:b w:val="0"/>
          <w:i/>
          <w:sz w:val="18"/>
        </w:rPr>
        <w:t>Rango: [0.0, 10.0] s. Salida escalada por K = 2 → pulso real [0, 20] 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type="dxa" w:w="1417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51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701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Soporte</w:t>
            </w:r>
          </w:p>
        </w:tc>
        <w:tc>
          <w:tcPr>
            <w:tcW w:type="dxa" w:w="2835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OFF</w:t>
            </w:r>
          </w:p>
        </w:tc>
        <w:tc>
          <w:tcPr>
            <w:tcW w:type="dxa" w:w="1417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[0.0, 0.0, 1.5]</w:t>
            </w:r>
          </w:p>
        </w:tc>
        <w:tc>
          <w:tcPr>
            <w:tcW w:type="dxa" w:w="170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[0.0, 1.5]</w:t>
            </w:r>
          </w:p>
        </w:tc>
        <w:tc>
          <w:tcPr>
            <w:tcW w:type="dxa" w:w="28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Sin acción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POCO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[3.0, 5.0, 7.0]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[3.0, 7.0]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Pulso corto (~10 s real)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MEDIO</w:t>
            </w:r>
          </w:p>
        </w:tc>
        <w:tc>
          <w:tcPr>
            <w:tcW w:type="dxa" w:w="1417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[5.5, 7.0, 9.0]</w:t>
            </w:r>
          </w:p>
        </w:tc>
        <w:tc>
          <w:tcPr>
            <w:tcW w:type="dxa" w:w="170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[5.5, 9.0]</w:t>
            </w:r>
          </w:p>
        </w:tc>
        <w:tc>
          <w:tcPr>
            <w:tcW w:type="dxa" w:w="28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Pulso medio (~14 s real)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MUCHO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Triangular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[7.5, 9.0, 10.0]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[7.5, 10.0]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Pulso largo (~18 s real)</w:t>
            </w:r>
          </w:p>
        </w:tc>
      </w:tr>
      <w:tr>
        <w:tc>
          <w:tcPr>
            <w:tcW w:type="dxa" w:w="1134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type="dxa" w:w="1417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Trapezoidal</w:t>
            </w:r>
          </w:p>
        </w:tc>
        <w:tc>
          <w:tcPr>
            <w:tcW w:type="dxa" w:w="255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[9.5, 10.0, 10.0, 10.0]</w:t>
            </w:r>
          </w:p>
        </w:tc>
        <w:tc>
          <w:tcPr>
            <w:tcW w:type="dxa" w:w="1701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[9.5, 10.0]</w:t>
            </w:r>
          </w:p>
        </w:tc>
        <w:tc>
          <w:tcPr>
            <w:tcW w:type="dxa" w:w="28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Pulso máximo (20 s real)</w:t>
            </w:r>
          </w:p>
        </w:tc>
      </w:tr>
    </w:tbl>
    <w:p>
      <w:pPr>
        <w:spacing w:before="40" w:after="80"/>
      </w:pPr>
      <w:r>
        <w:rPr>
          <w:b w:val="0"/>
          <w:i/>
          <w:sz w:val="18"/>
        </w:rPr>
        <w:t>Tabla 2. Funciones de membresía — salida (t_pulso)</w:t>
      </w:r>
    </w:p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59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fs_te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sz w:val="18"/>
        </w:rPr>
        <w:t>Figura 1. Funciones de membresía del controlador difuso. Izquierda: variable de entrada (error de pH). Derecha: variable de salida (t_pulso).</w:t>
      </w:r>
    </w:p>
    <w:p>
      <w:pPr>
        <w:spacing w:before="200" w:after="80"/>
      </w:pPr>
      <w:r>
        <w:rPr>
          <w:b/>
          <w:color w:val="2E75B6"/>
          <w:sz w:val="22"/>
        </w:rPr>
        <w:t>2.3 Base de reglas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Antecedente (error e)</w:t>
            </w:r>
          </w:p>
        </w:tc>
        <w:tc>
          <w:tcPr>
            <w:tcW w:type="dxa" w:w="4535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Consecuente (t_pulso)</w:t>
            </w:r>
          </w:p>
        </w:tc>
      </w:tr>
      <w:tr>
        <w:tc>
          <w:tcPr>
            <w:tcW w:type="dxa" w:w="45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SI error es N (Nulo)</w:t>
            </w:r>
          </w:p>
        </w:tc>
        <w:tc>
          <w:tcPr>
            <w:tcW w:type="dxa" w:w="45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ENTONCES t_pulso es OFF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SI error es PE (Pequeño)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ENTONCES t_pulso es POCO  (~10 s real)</w:t>
            </w:r>
          </w:p>
        </w:tc>
      </w:tr>
      <w:tr>
        <w:tc>
          <w:tcPr>
            <w:tcW w:type="dxa" w:w="45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SI error es ME (Mediano)</w:t>
            </w:r>
          </w:p>
        </w:tc>
        <w:tc>
          <w:tcPr>
            <w:tcW w:type="dxa" w:w="45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ENTONCES t_pulso es MEDIO (~14 s real)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SI error es GE (Grande)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ENTONCES t_pulso es MUCHO (~18 s real)</w:t>
            </w:r>
          </w:p>
        </w:tc>
      </w:tr>
      <w:tr>
        <w:tc>
          <w:tcPr>
            <w:tcW w:type="dxa" w:w="45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SI error es MG (Muy Grande)</w:t>
            </w:r>
          </w:p>
        </w:tc>
        <w:tc>
          <w:tcPr>
            <w:tcW w:type="dxa" w:w="4535"/>
            <w:vAlign w:val="center"/>
            <w:shd w:val="clear" w:color="auto" w:fill="F0F4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ENTONCES t_pulso es MAX  (20 s real)</w:t>
            </w:r>
          </w:p>
        </w:tc>
      </w:tr>
    </w:tbl>
    <w:p>
      <w:pPr>
        <w:spacing w:before="40" w:after="80"/>
      </w:pPr>
      <w:r>
        <w:rPr>
          <w:b w:val="0"/>
          <w:i/>
          <w:sz w:val="18"/>
        </w:rPr>
        <w:t>Tabla 3. Base de reglas Mamdani</w:t>
      </w:r>
    </w:p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42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uperficie_te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sz w:val="18"/>
        </w:rPr>
        <w:t>Figura 4. Superficie de control t_pulso(error) para K=1, 2 y 3. Los puntos de operación reales caen en la zona [0.1, 0.6] pH con K=2.</w:t>
      </w:r>
    </w:p>
    <w:p>
      <w:pPr>
        <w:spacing w:before="360" w:after="160"/>
      </w:pPr>
      <w:r>
        <w:rPr>
          <w:b/>
          <w:color w:val="1A56A0"/>
          <w:sz w:val="28"/>
        </w:rPr>
        <w:t>3. Caracterización del Proceso</w:t>
      </w:r>
    </w:p>
    <w:p>
      <w:pPr>
        <w:spacing w:before="200" w:after="80"/>
      </w:pPr>
      <w:r>
        <w:rPr>
          <w:b/>
          <w:color w:val="2E75B6"/>
          <w:sz w:val="22"/>
        </w:rPr>
        <w:t>3.1 Tiempo de mezcla y período de muestreo</w:t>
      </w:r>
    </w:p>
    <w:p>
      <w:pPr>
        <w:spacing w:before="40" w:after="80"/>
      </w:pPr>
      <w:r>
        <w:rPr>
          <w:b w:val="0"/>
          <w:i w:val="0"/>
          <w:sz w:val="20"/>
        </w:rPr>
        <w:t>Prueba de escalón de pH (adición de vinagre) bajo condición de operación normal: agitación magnética + flujo directo de aire sin difusor. Resultado: θ_m = 130 s. Período de muestreo: Ts = θ_m / 4 = 32.5 s ≈ 30 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76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iempo_mezcla_te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sz w:val="18"/>
        </w:rPr>
        <w:t>Figura 5. Prueba de escalón para caracterización del tiempo de mezcla (θ_m = 130 s). Condición: bomba de aire activa sin difusor (idéntica a operación normal).</w:t>
      </w:r>
    </w:p>
    <w:p>
      <w:pPr>
        <w:spacing w:before="200" w:after="80"/>
      </w:pPr>
      <w:r>
        <w:rPr>
          <w:b/>
          <w:color w:val="2E75B6"/>
          <w:sz w:val="22"/>
        </w:rPr>
        <w:t>3.2 Ganancia del proceso por dilución</w:t>
      </w:r>
    </w:p>
    <w:p>
      <w:pPr>
        <w:spacing w:before="40" w:after="80"/>
      </w:pPr>
      <w:r>
        <w:rPr>
          <w:b w:val="0"/>
          <w:i w:val="0"/>
          <w:sz w:val="20"/>
        </w:rPr>
        <w:t>Experimento de dilución a escala de 1 L: 119 ciclos de adición-extracción de 25 mL de solución salina. Mediana ΔpH = 0.030 pH/ciclo. Extrapolado al biorreactor de 50 L con Q = 39 mL/s: ΔpH ≈ 0.019 pH por pulso de tp_max = 20 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89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ganancia_pro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sz w:val="18"/>
        </w:rPr>
        <w:t>Figura 6. Caracterización de la ganancia de proceso. (a) Trayectoria del experimento de dilución. (b) ΔpH por ciclo vs pH actual. (c) Respuesta estimada en biorreactor 50 L.</w:t>
      </w:r>
    </w:p>
    <w:p>
      <w:pPr>
        <w:spacing w:before="360" w:after="160"/>
      </w:pPr>
      <w:r>
        <w:rPr>
          <w:b/>
          <w:color w:val="1A56A0"/>
          <w:sz w:val="28"/>
        </w:rPr>
        <w:t>4. Resultados Experimentales</w:t>
      </w:r>
    </w:p>
    <w:p>
      <w:pPr>
        <w:spacing w:before="40" w:after="80"/>
      </w:pPr>
      <w:r>
        <w:rPr>
          <w:b w:val="0"/>
          <w:i w:val="0"/>
          <w:sz w:val="20"/>
        </w:rPr>
        <w:t>Validación con 5 escenarios de prueba en lazo cerrado. Criterio de aceptación: error en estado estable ≤ 0.04 pH.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850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850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pH₀</w:t>
            </w:r>
          </w:p>
        </w:tc>
        <w:tc>
          <w:tcPr>
            <w:tcW w:type="dxa" w:w="850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417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Error₀ (pH)</w:t>
            </w:r>
          </w:p>
        </w:tc>
        <w:tc>
          <w:tcPr>
            <w:tcW w:type="dxa" w:w="1984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T_estab. (min)</w:t>
            </w:r>
          </w:p>
        </w:tc>
        <w:tc>
          <w:tcPr>
            <w:tcW w:type="dxa" w:w="1984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e_estable (pH)</w:t>
            </w:r>
          </w:p>
        </w:tc>
      </w:tr>
      <w:tr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5.84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6.5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0.66</w:t>
            </w:r>
          </w:p>
        </w:tc>
        <w:tc>
          <w:tcPr>
            <w:tcW w:type="dxa" w:w="198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~6</w:t>
            </w:r>
          </w:p>
        </w:tc>
        <w:tc>
          <w:tcPr>
            <w:tcW w:type="dxa" w:w="198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≤ 0.04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6.51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0.49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~5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≤ 0.04</w:t>
            </w:r>
          </w:p>
        </w:tc>
      </w:tr>
      <w:tr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6.00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98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~8</w:t>
            </w:r>
          </w:p>
        </w:tc>
        <w:tc>
          <w:tcPr>
            <w:tcW w:type="dxa" w:w="198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≤ 0.04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P4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5.50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1.50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~12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≤ 0.04</w:t>
            </w:r>
          </w:p>
        </w:tc>
      </w:tr>
      <w:tr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P5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6.80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198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~2</w:t>
            </w:r>
          </w:p>
        </w:tc>
        <w:tc>
          <w:tcPr>
            <w:tcW w:type="dxa" w:w="198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≤ 0.04</w:t>
            </w:r>
          </w:p>
        </w:tc>
      </w:tr>
    </w:tbl>
    <w:p>
      <w:pPr>
        <w:spacing w:before="40" w:after="80"/>
      </w:pPr>
      <w:r>
        <w:rPr>
          <w:b w:val="0"/>
          <w:i/>
          <w:sz w:val="18"/>
        </w:rPr>
        <w:t>Tabla 4. Resumen de los 5 escenarios de prueba. Todas las pruebas cumplen el criterio de estado estable ≤ 0.04 pH.</w:t>
      </w:r>
    </w:p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30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uebas_te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sz w:val="18"/>
        </w:rPr>
        <w:t>Figura 2. Respuesta de pH y acción de control t_pulso para los 5 escenarios. Línea roja = SP; zona sombreada = banda ±0.1 pH.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00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etricas_te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sz w:val="18"/>
        </w:rPr>
        <w:t>Figura 3. Métricas de desempeño: tiempo de establecimiento (izq.) y error en estado estable (der.).</w:t>
      </w:r>
    </w:p>
    <w:p>
      <w:pPr>
        <w:spacing w:before="360" w:after="160"/>
      </w:pPr>
      <w:r>
        <w:rPr>
          <w:b/>
          <w:color w:val="1A56A0"/>
          <w:sz w:val="28"/>
        </w:rPr>
        <w:t>5. Parámetros de Calibración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134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850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5386"/>
            <w:vAlign w:val="center"/>
            <w:shd w:val="clear" w:color="auto" w:fill="1A56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 / Justificación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Setpoint (SP)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pH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Rango óptimo hongos coprófilos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Período muestreo (Ts)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θ_m / 4 = 130/4 ≈ 30 s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Banda muerta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pH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Umbral mínimo para activar control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Ganancia K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Amplificador de salida fuzzy; validado en 5 escenarios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Pulso máximo (tp_max)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K × 10 s = 20 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Error máx. MFs (e_max)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0.8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pH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Límite superior del dominio de entrada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Error saturación (e_sat)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0.8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pH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Errores ≥ e_sat → tp_max directo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Nivel máximo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140 mm del sensor; 55 L útiles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Nivel histéresis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50 L; dispara relleno automático si baja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Tiempo de mezcla (θ_m)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Prueba escalón; bomba aire ON, sin difusor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Caudal bomba (Q)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mL/s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55 L / 1409 s (prueba llenado)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Volumen operativo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50 000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mL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50 L de mezcla activa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Neutralizante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Etanol 95%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Dilución; pH ≈ 7, sin capacidad buffer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Ganancia dilución (Kd)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pH/ciclo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Mediana 119 ciclos × 25 mL en 1 L</w:t>
            </w:r>
          </w:p>
        </w:tc>
      </w:tr>
      <w:tr>
        <w:tc>
          <w:tcPr>
            <w:tcW w:type="dxa" w:w="2268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ΔpH por tp_max (50 L)</w:t>
            </w:r>
          </w:p>
        </w:tc>
        <w:tc>
          <w:tcPr>
            <w:tcW w:type="dxa" w:w="1134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0.019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pH/pulso</w:t>
            </w:r>
          </w:p>
        </w:tc>
        <w:tc>
          <w:tcPr>
            <w:tcW w:type="dxa" w:w="5386"/>
            <w:vAlign w:val="center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Extrapolado del experimento de dilución</w:t>
            </w:r>
          </w:p>
        </w:tc>
      </w:tr>
    </w:tbl>
    <w:p>
      <w:pPr>
        <w:spacing w:before="40" w:after="80"/>
      </w:pPr>
      <w:r>
        <w:rPr>
          <w:b w:val="0"/>
          <w:i/>
          <w:sz w:val="18"/>
        </w:rPr>
        <w:t>Tabla 5. Parámetros de calibración del sistema con sus fuentes.</w:t>
      </w:r>
    </w:p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910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a_calib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1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sz w:val="18"/>
        </w:rPr>
        <w:t>Figura 7. Tabla de calibración completa (verde = calibrado, amarillo = pendiente, rojo = requiere cultivo real).</w:t>
      </w:r>
    </w:p>
    <w:p>
      <w:pPr>
        <w:spacing w:before="360" w:after="160"/>
      </w:pPr>
      <w:r>
        <w:rPr>
          <w:b/>
          <w:color w:val="1A56A0"/>
          <w:sz w:val="28"/>
        </w:rPr>
        <w:t>6. Aspectos Pendientes para Cultivo Real</w:t>
      </w:r>
    </w:p>
    <w:p>
      <w:pPr>
        <w:pStyle w:val="ListBullet"/>
        <w:spacing w:before="60" w:after="60"/>
      </w:pPr>
      <w:r>
        <w:rPr>
          <w:sz w:val="20"/>
        </w:rPr>
        <w:t>Tasa de caída de pH durante actividad metabólica activa (pH/h) — determina si la capacidad correctiva del controlador es suficiente.</w:t>
      </w:r>
    </w:p>
    <w:p>
      <w:pPr>
        <w:pStyle w:val="ListBullet"/>
        <w:spacing w:before="60" w:after="60"/>
      </w:pPr>
      <w:r>
        <w:rPr>
          <w:sz w:val="20"/>
        </w:rPr>
        <w:t>Confirmación del rango de pH óptimo de la cepa específica (literatura: 4.0–7.5 para hongos coprófilos en general).</w:t>
      </w:r>
    </w:p>
    <w:p>
      <w:pPr>
        <w:pStyle w:val="ListBullet"/>
        <w:spacing w:before="60" w:after="60"/>
      </w:pPr>
      <w:r>
        <w:rPr>
          <w:sz w:val="20"/>
        </w:rPr>
        <w:t>Verificación del límite de carga ácida: el controlador compensa hasta 0.038 pH cada 30 s; tasas mayores requieren aumentar Q o tp_max.</w:t>
      </w:r>
    </w:p>
    <w:p>
      <w:pPr>
        <w:pStyle w:val="ListBullet"/>
        <w:spacing w:before="60" w:after="60"/>
      </w:pPr>
      <w:r>
        <w:rPr>
          <w:sz w:val="20"/>
        </w:rPr>
        <w:t>Si se instala difusor de burbujas en el futuro, repetir caracterización del tiempo de mezcla para recalcular Ts.</w:t>
      </w:r>
    </w:p>
    <w:p/>
    <w:p>
      <w:pPr>
        <w:jc w:val="center"/>
      </w:pPr>
      <w:r>
        <w:rPr>
          <w:i/>
          <w:color w:val="888888"/>
          <w:sz w:val="18"/>
        </w:rPr>
        <w:t>Documento generado el 27 de junio de 2026  ·  Trabajo Terminal II  ·  ESCOM-IPN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