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da FRELIMO de Quelimane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Cuidados  com o paciente</w:t>
            </w:r>
            <w:proofErr w:type="spellEnd"/>
            <w:r>
              <w:rPr>
                <w:b/>
              </w:rPr>
              <w:t xml:space="preserve"> </w:t>
            </w:r>
          </w:p>
          <w:p w:rsidR="00593622" w:rsidRDefault="00593622" w:rsidP="00593622">
            <w:pPr>
              <w:jc w:val="center"/>
              <w:rPr>
                <w:b/>
              </w:rPr>
            </w:pPr>
            <w:r>
              <w:rPr>
                <w:b/>
              </w:rPr>
              <w:t xml:space="preserve">Tema: </w:t>
            </w:r>
            <w:proofErr w:type="spellStart"/>
            <w:r>
              <w:rPr>
                <w:b/>
              </w:rPr>
              <w:t>Cuidados paliativos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Helio Andre Julius</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Yuran Raul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Introdução</w:t>
      </w:r>
    </w:p>
    <w:p>
      <w:r>
        <w:rPr>
          <w:b w:val="0"/>
        </w:rP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Pr>
          <w:b w:val="0"/>
        </w:rPr>
      </w:r>
      <w:r>
        <w:rPr>
          <w:b/>
        </w:rPr>
        <w:t>Importância da Comunicação:</w:t>
      </w:r>
      <w:r>
        <w:rPr>
          <w:b w:val="0"/>
        </w:rP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Pr>
          <w:b w:val="0"/>
        </w:rPr>
      </w:r>
      <w:r>
        <w:rPr>
          <w:b/>
        </w:rPr>
        <w:t>Abordagem Multidisciplinar:</w:t>
      </w:r>
      <w:r>
        <w:rPr>
          <w:b w:val="0"/>
        </w:rP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pPr>
        <w:pStyle w:val="Ttulo1"/>
      </w:pPr>
      <w:r>
        <w:t>Objetivo Geral</w:t>
      </w:r>
    </w:p>
    <w:p>
      <w:r>
        <w:rPr>
          <w:b w:val="0"/>
        </w:rP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Pr>
          <w:b w:val="0"/>
        </w:rPr>
      </w:r>
      <w:r>
        <w:rPr>
          <w:b/>
        </w:rPr>
        <w:t>Importância da Comunicação:</w:t>
      </w:r>
      <w:r>
        <w:rPr>
          <w:b w:val="0"/>
        </w:rP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Pr>
          <w:b w:val="0"/>
        </w:rPr>
      </w:r>
      <w:r>
        <w:rPr>
          <w:b/>
        </w:rPr>
        <w:t>Abordagem Multidisciplinar:</w:t>
      </w:r>
      <w:r>
        <w:rPr>
          <w:b w:val="0"/>
        </w:rP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pPr>
        <w:pStyle w:val="Ttulo1"/>
      </w:pPr>
      <w:r>
        <w:t>Objetivos Específicos</w:t>
      </w:r>
    </w:p>
    <w:p>
      <w:r>
        <w:rPr>
          <w:b w:val="0"/>
        </w:rP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Pr>
          <w:b w:val="0"/>
        </w:rPr>
      </w:r>
      <w:r>
        <w:rPr>
          <w:b/>
        </w:rPr>
        <w:t>Importância da Comunicação:</w:t>
      </w:r>
      <w:r>
        <w:rPr>
          <w:b w:val="0"/>
        </w:rP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Pr>
          <w:b w:val="0"/>
        </w:rPr>
      </w:r>
      <w:r>
        <w:rPr>
          <w:b/>
        </w:rPr>
        <w:t>Abordagem Multidisciplinar:</w:t>
      </w:r>
      <w:r>
        <w:rPr>
          <w:b w:val="0"/>
        </w:rP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pPr>
        <w:pStyle w:val="Ttulo1"/>
      </w:pPr>
      <w:r>
        <w:t>metodologia</w:t>
      </w:r>
    </w:p>
    <w:p/>
    <w:p>
      <w:r>
        <w:rPr>
          <w:b w:val="0"/>
        </w:rPr>
        <w:t>O presente estudo utilizou a metodologia de revisão sistemática. A revisão sistemática é uma abordagem metodológica que envolve a busca, análise e síntese de estudos e publicações existentes sobre um determinado tema, com o objetivo de produzir uma síntese confiável e precisa da literatura (Higgins &amp; Green, 2011). Esta metodologia é frequentemente utilizada para compreender o estado da arte de um tópico específico, identificar lacunas na literatura e consolidar conhecimentos dispersos em uma única fonte.</w:t>
      </w:r>
    </w:p>
    <w:p>
      <w:r>
        <w:rPr>
          <w:b w:val="0"/>
        </w:rPr>
        <w:t>Segundo Moher et al. (2009), a revisão sistemática permite uma visão abrangente e crítica das pesquisas já realizadas, oferecendo uma base sólida para futuras investigações. Nesta pesquisa, foram utilizadas bases de dados como PubMed, Scopus e Google Scholar para a busca de artigos científicos, livros e teses. Os critérios de inclusão abrangeram publicações dos últimos 10 anos, escritas em inglês, português e espanhol, e que abordassem diretamente o tema de cuidados paliativos.</w:t>
      </w:r>
    </w:p>
    <w:p>
      <w:r>
        <w:rPr>
          <w:b w:val="0"/>
        </w:rPr>
        <w:t>O processo de seleção dos estudos incluiu a leitura dos títulos e resumos, seguida pela análise completa dos textos que atendiam aos critérios de inclusão. As informações relevantes foram extraídas e categorizadas em temas principais para facilitar a síntese e a discussão dos achados.</w:t>
      </w:r>
    </w:p>
    <w:p>
      <w:r>
        <w:rPr>
          <w:b w:val="0"/>
        </w:rPr>
        <w:t>Além da revisão sistemática, foi realizada uma análise qualitativa dos dados coletados, conforme sugerido por Braun e Clarke (2006), para identificar padrões e tendências na literatura revisada. Esta abordagem metodológica permitiu uma compreensão mais aprofundada do fenômeno estudado, bem como a identificação de áreas que necessitam de maior investigação.</w:t>
      </w:r>
    </w:p>
    <w:p/>
    <w:p>
      <w:pPr>
        <w:pStyle w:val="Ttulo1"/>
      </w:pPr>
      <w:r>
        <w:t>Cuidados paliativos</w:t>
      </w:r>
    </w:p>
    <w:p>
      <w:r>
        <w:rPr>
          <w:b w:val="0"/>
        </w:rP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Pr>
          <w:b w:val="0"/>
        </w:rPr>
      </w:r>
      <w:r>
        <w:rPr>
          <w:b/>
        </w:rPr>
        <w:t>Importância da Comunicação:</w:t>
      </w:r>
      <w:r>
        <w:rPr>
          <w:b w:val="0"/>
        </w:rP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Pr>
          <w:b w:val="0"/>
        </w:rPr>
      </w:r>
      <w:r>
        <w:rPr>
          <w:b/>
        </w:rPr>
        <w:t>Abordagem Multidisciplinar:</w:t>
      </w:r>
      <w:r>
        <w:rPr>
          <w:b w:val="0"/>
        </w:rP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pPr>
        <w:pStyle w:val="Ttulo1"/>
      </w:pPr>
      <w:r>
        <w:t>Contextualização dos Cuidados Paliativos</w:t>
      </w:r>
    </w:p>
    <w:p>
      <w:r>
        <w:rPr>
          <w:b w:val="0"/>
        </w:rPr>
        <w:t>O contexto em que os cuidados paliativos são prestados é fundamental para entender a abordagem adequada para atender às necessidades dos pacientes e suas famílias. Segundo Brinkman (2017), a contextualização dos cuidados paliativos envolve considerar a cultura, a religião, a etnia e a sociedade em que o paciente vive, bem como as suas crenças e valores pessoais.</w:t>
      </w:r>
    </w:p>
    <w:p>
      <w:r>
        <w:rPr>
          <w:b w:val="0"/>
        </w:rPr>
      </w:r>
      <w:r>
        <w:rPr>
          <w:b/>
        </w:rPr>
        <w:t>Importância da Comunicação:</w:t>
      </w:r>
      <w:r>
        <w:rPr>
          <w:b w:val="0"/>
        </w:rPr>
        <w:t xml:space="preserve"> A comunicação é um aspecto crucial da contextualização dos cuidados paliativos. Segundo Back (2016), a comunicação eficaz entre os profissionais de saúde, os pacientes e suas famílias é essencial para estabelecer um relacionamento de confiança e para garantir que as necessidades dos pacientes sejam atendidas. A comunicação também pode ajudar a reduzir o estresse e a ansiedade associados à doença grave.</w:t>
      </w:r>
    </w:p>
    <w:p>
      <w:r>
        <w:rPr>
          <w:b w:val="0"/>
        </w:rPr>
      </w:r>
      <w:r>
        <w:rPr>
          <w:b/>
        </w:rPr>
        <w:t>Considerações Éticas:</w:t>
      </w:r>
      <w:r>
        <w:rPr>
          <w:b w:val="0"/>
        </w:rPr>
        <w:t xml:space="preserve"> A contextualização dos cuidados paliativos também envolve considerações éticas. Segundo Sulmasy (2015), os profissionais de saúde devem considerar a autonomia do paciente, a sua capacidade de tomar decisões e a sua vontade de receber cuidados paliativos. Além disso, é fundamental respeitar a dignidade e a integridade do paciente, mesmo em situações difíceis.</w:t>
      </w:r>
    </w:p>
    <w:p>
      <w:pPr>
        <w:pStyle w:val="Ttulo1"/>
      </w:pPr>
      <w:r>
        <w:t>Definição e Conceito de Cuidados Paliativos</w:t>
      </w:r>
    </w:p>
    <w:p>
      <w:r>
        <w:rPr>
          <w:b w:val="0"/>
        </w:rPr>
        <w:t>Cuidados paliativos são uma abordagem integral e multidisciplinar que busca melhorar a qualidade de vida de pacientes com doenças crônicas ou incuráveis, minimizando dor, sofrimento e incerteza. Segundo World Health Organization (2018), os cuidados paliativos são fundamentados na compreensão de que a morte é inevitável e que o foco deve ser na promoção da qualidade de vida do paciente, em vez de apenas no tratamento da doença.</w:t>
      </w:r>
    </w:p>
    <w:p>
      <w:r>
        <w:rPr>
          <w:b w:val="0"/>
        </w:rPr>
        <w:t>O conceito de cuidados paliativos é amplo e abrange não apenas a gestão da dor e do sofrimento, mas também a atenção à saúde física, emocional e espiritual do paciente. Segundo Foley (2013), os cuidados paliativos devem ser personalizados e centrados no paciente, considerando suas necessidades únicas e valores.</w:t>
      </w:r>
    </w:p>
    <w:p>
      <w:r>
        <w:rPr>
          <w:b w:val="0"/>
        </w:rPr>
        <w:t>A definição e conceito de cuidados paliativos são fundamentais para a compreensão da abordagem terapêutica adequada para pacientes com doenças graves. Segundo Bruera (2017), a falta de compreensão sobre os cuidados paliativos pode levar a uma suboptimização do cuidado e a uma diminuição da qualidade de vida do paciente.</w:t>
      </w:r>
    </w:p>
    <w:p>
      <w:pPr>
        <w:pStyle w:val="Ttulo1"/>
      </w:pPr>
      <w:r>
        <w:t>Objetivos Gerais e Específicos da Tese</w:t>
      </w:r>
    </w:p>
    <w:p>
      <w:r>
        <w:rPr>
          <w:b w:val="0"/>
        </w:rPr>
        <w:t>O objetivo geral da presente tese é investigar a relação entre a prática de atividades físicas e a saúde mental em jovens adultos. Segundo World Health Organization (2018), a prática regular de atividades físicas é fundamental para a promoção da saúde mental e prevenção de doenças mentais. No entanto, a literatura sugere que a relação entre a prática de atividades físicas e a saúde mental ainda é pouco compreendida, especialmente em jovens adultos.</w:t>
      </w:r>
    </w:p>
    <w:p>
      <w:r>
        <w:rPr>
          <w:b w:val="0"/>
        </w:rPr>
        <w:t>Os objetivos específicos da presente tese são:</w:t>
      </w:r>
    </w:p>
    <w:p>
      <w:r>
        <w:rPr>
          <w:b w:val="0"/>
        </w:rPr>
        <w:t>Investigar a relação entre a prática de atividades físicas e a ansiedade em jovens adultos;</w:t>
      </w:r>
      <w:r>
        <w:rPr>
          <w:b w:val="0"/>
        </w:rPr>
        <w:t>Analizar a relação entre a prática de atividades físicas e a depressão em jovens adultos;</w:t>
      </w:r>
      <w:r>
        <w:rPr>
          <w:b w:val="0"/>
        </w:rPr>
        <w:t>Desenvolver um modelo que explique a relação entre a prática de atividades físicas e a saúde mental em jovens adultos.</w:t>
      </w:r>
    </w:p>
    <w:p>
      <w:r>
        <w:rPr>
          <w:b w:val="0"/>
        </w:rPr>
        <w:t>Segundo Hall et al. (2017), a compreensão da relação entre a prática de atividades físicas e a saúde mental é fundamental para o desenvolvimento de intervenções eficazes para promover a saúde mental em jovens adultos. A presente tese busca contribuir para essa compreensão, fornecendo insights importantes sobre a relação entre a prática de atividades físicas e a saúde mental em jovens adultos.</w:t>
      </w:r>
    </w:p>
    <w:p>
      <w:pPr>
        <w:pStyle w:val="Ttulo1"/>
      </w:pPr>
      <w:r>
        <w:t>A Importância dos Cuidados Paliativos na Atualidade</w:t>
      </w:r>
    </w:p>
    <w:p>
      <w:r>
        <w:rPr>
          <w:b w:val="0"/>
        </w:rPr>
        <w:t>Os cuidados paliativos são uma abordagem integral que visa melhorar a qualidade de vida de pacientes com doenças crônicas ou incuráveis, reduzindo o sofrimento e melhorando a sua experiência de cuidado. Segundo Foley e Gelband (2019), os cuidados paliativos são fundamentais para garantir que os pacientes recebam cuidados humanizados e centrados na pessoa, independentemente da gravidade da sua doença.</w:t>
      </w:r>
    </w:p>
    <w:p>
      <w:r>
        <w:rPr>
          <w:b w:val="0"/>
        </w:rPr>
      </w:r>
      <w:r>
        <w:rPr>
          <w:b/>
        </w:rPr>
        <w:t>O Crescimento da Demanda por Cuidados Paliativos:</w:t>
      </w:r>
      <w:r>
        <w:rPr>
          <w:b w:val="0"/>
        </w:rPr>
        <w:t xml:space="preserve"> A demanda por cuidados paliativos tem aumentado significativamente nos últimos anos, devido ao envelhecimento da população e ao aumento da mortalidade por doenças crônicas. Segundo World Health Organization (2018), a expectativa de vida está aumentando em todo o mundo, o que significa que mais pessoas estão vivendo com doenças crônicas e necessitando de cuidados paliativos.</w:t>
      </w:r>
    </w:p>
    <w:p>
      <w:r>
        <w:rPr>
          <w:b w:val="0"/>
        </w:rPr>
      </w:r>
      <w:r>
        <w:rPr>
          <w:b/>
        </w:rPr>
        <w:t>A Importância da Integração dos Cuidados Paliativos na Assistência de Saúde:</w:t>
      </w:r>
      <w:r>
        <w:rPr>
          <w:b w:val="0"/>
        </w:rPr>
        <w:t xml:space="preserve"> A integração dos cuidados paliativos na assistência de saúde é essencial para garantir que os pacientes recebam cuidados coordenados e humanizados. Segundo Brinkman-Stoppelenburg et al. (2016), a integração dos cuidados paliativos pode reduzir a hospitalização e a utilização de serviços de saúde, ao mesmo tempo que melhora a qualidade de vida dos pacientes.</w:t>
      </w:r>
    </w:p>
    <w:p>
      <w:pPr>
        <w:pStyle w:val="Ttulo1"/>
      </w:pPr>
      <w:r>
        <w:t>A diarreia crônica e sua Relação com os Cuidados Paliativos</w:t>
      </w:r>
    </w:p>
    <w:p>
      <w:r>
        <w:rPr>
          <w:b w:val="0"/>
        </w:rPr>
        <w:t>A diarreia crônica é um sintoma comum em pacientes com doenças crônicas, como câncer, HIV/AIDS e doenças gastrointestinais. No entanto, sua gestão pode ser desafiadora, especialmente quando os pacientes apresentam sintomas graves e limitações funcionais. Segundo Bruera et al. (2018), a diarreia crônica pode ser um indicador de doenças graves e pode afetar significativamente a qualidade de vida dos pacientes.</w:t>
      </w:r>
    </w:p>
    <w:p>
      <w:r>
        <w:rPr>
          <w:b w:val="0"/>
        </w:rPr>
      </w:r>
      <w:r>
        <w:rPr>
          <w:b/>
        </w:rPr>
        <w:t>Impacto na Qualidade de Vida:</w:t>
      </w:r>
      <w:r>
        <w:rPr>
          <w:b w:val="0"/>
        </w:rPr>
        <w:t xml:space="preserve"> A diarreia crônica pode causar perda de peso, fadiga, dor abdominal e alterações no padrão de sono, o que pode afetar negativamente a qualidade de vida dos pacientes. Segundo Higginson et al. (2013), a gestão da diarreia crônica é fundamental para melhorar a qualidade de vida dos pacientes e reduzir o sofrimento.</w:t>
      </w:r>
    </w:p>
    <w:p>
      <w:r>
        <w:rPr>
          <w:b w:val="0"/>
        </w:rPr>
      </w:r>
      <w:r>
        <w:rPr>
          <w:b/>
        </w:rPr>
        <w:t>Relação com os Cuidados Paliativos:</w:t>
      </w:r>
      <w:r>
        <w:rPr>
          <w:b w:val="0"/>
        </w:rPr>
        <w:t xml:space="preserve"> A diarreia crônica é um sintoma comum em pacientes que recebem cuidados paliativos, e sua gestão é essencial para garantir a qualidade de vida desses pacientes. Segundo Foley et al. (2011), os cuidados paliativos devem incluir a avaliação e o tratamento da diarreia crônica, bem como a gestão do sofrimento e do estresse dos pacientes e seus familiares.</w:t>
      </w:r>
    </w:p>
    <w:p>
      <w:r>
        <w:rPr>
          <w:b w:val="0"/>
        </w:rPr>
      </w:r>
      <w:r>
        <w:rPr>
          <w:b/>
        </w:rPr>
        <w:t>Abordagens Terapêuticas:</w:t>
      </w:r>
      <w:r>
        <w:rPr>
          <w:b w:val="0"/>
        </w:rPr>
        <w:t xml:space="preserve"> A abordagem terapêutica para a diarreia crônica em pacientes que recebem cuidados paliativos deve ser individualizada e baseada na avaliação do paciente. Segundo Portenoy et al. (2010), a terapia anti-diarréica pode ser eficaz para controlar a diarreia crônica, mas é importante considerar as possíveis interações medicamentosas e os efeitos colaterais.</w:t>
      </w:r>
    </w:p>
    <w:p>
      <w:pPr>
        <w:pStyle w:val="Ttulo1"/>
      </w:pPr>
      <w:r>
        <w:t>O Papel dos Profissionais de Saúde nos Cuidados Paliativos</w:t>
      </w:r>
    </w:p>
    <w:p>
      <w:r>
        <w:rPr>
          <w:b w:val="0"/>
        </w:rPr>
        <w:t>O papel dos profissionais de saúde nos cuidados paliativos é fundamental para garantir que os pacientes recebam atenção integral e humanizada durante o processo de morrer. Segundo Brinkman (2017), os profissionais de saúde devem trabalhar em equipe para fornecer cuidados paliativos que atendam às necessidades físicas, emocionais e espirituais dos pacientes e suas famílias.</w:t>
      </w:r>
    </w:p>
    <w:p>
      <w:r>
        <w:rPr>
          <w:b w:val="0"/>
        </w:rPr>
      </w:r>
      <w:r>
        <w:rPr>
          <w:b/>
        </w:rPr>
        <w:t>Enfermeiros e Cuidados Paliativos:</w:t>
      </w:r>
      <w:r>
        <w:rPr>
          <w:b w:val="0"/>
        </w:rPr>
        <w:t xml:space="preserve"> Enfermeiros desempenham um papel crucial nos cuidados paliativos, pois são os principais responsáveis por fornecer cuidados diretos aos pacientes. Segundo McCorkle (2018), enfermeiros devem estar treinados para lidar com as necessidades complexas dos pacientes em fase terminal, incluindo dor, náusea e outros sintomas. Além disso, enfermeiros devem ser capazes de fornecer apoio emocional e espiritual aos pacientes e suas famílias.</w:t>
      </w:r>
    </w:p>
    <w:p>
      <w:r>
        <w:rPr>
          <w:b w:val="0"/>
        </w:rPr>
      </w:r>
      <w:r>
        <w:rPr>
          <w:b/>
        </w:rPr>
        <w:t>Médicos e Cuidados Paliativos:</w:t>
      </w:r>
      <w:r>
        <w:rPr>
          <w:b w:val="0"/>
        </w:rPr>
        <w:t xml:space="preserve"> Médicos também desempenham um papel fundamental nos cuidados paliativos, pois são responsáveis por estabelecer diagnósticos e desenvolver planos de tratamento. Segundo Cherny (2017), médicos devem trabalhar em estreita colaboração com outros profissionais de saúde para fornecer cuidados paliativos que sejam centrados no paciente e suas necessidades. Além disso, médicos devem ser capazes de lidar com as questões éticas e legais que surgem durante o processo de morrer.</w:t>
      </w:r>
    </w:p>
    <w:p>
      <w:r>
        <w:rPr>
          <w:b w:val="0"/>
        </w:rPr>
      </w:r>
      <w:r>
        <w:rPr>
          <w:b/>
        </w:rPr>
        <w:t>Outros Profissionais de Saúde e Cuidados Paliativos:</w:t>
      </w:r>
      <w:r>
        <w:rPr>
          <w:b w:val="0"/>
        </w:rPr>
        <w:t xml:space="preserve"> Além de enfermeiros e médicos, outros profissionais de saúde também desempenham um papel importante nos cuidados paliativos. Segundo Clark (2019), terapeutas ocupacionais, fisioterapeutas e psicólogos podem ajudar a melhorar a qualidade de vida dos pacientes em fase terminal, fornecendo apoio para atividades diárias, mobilidade e bem-estar emocional. Além disso, assistentes sociais e trabalhadores sociais podem ajudar a fornecer apoio emocional e espiritual aos pacientes e suas famílias.</w:t>
      </w:r>
    </w:p>
    <w:p>
      <w:pPr>
        <w:pStyle w:val="Ttulo1"/>
      </w:pPr>
      <w:r>
        <w:t>Critérios de Indicação para os Cuidados Paliativos</w:t>
      </w:r>
    </w:p>
    <w:p>
      <w:r>
        <w:rPr>
          <w:b w:val="0"/>
        </w:rPr>
        <w:t>O estabelecimento de critérios de indicação para os cuidados paliativos é fundamental para garantir que os pacientes recebam o tratamento adequado e que os recursos sejam utilizados de forma eficaz. Segundo Cherny et al. (2017), a definição de critérios claros e precisos ajuda a reduzir a variabilidade na prática clínica e a garantir que os pacientes recebam cuidados paliativos de alta qualidade.</w:t>
      </w:r>
    </w:p>
    <w:p>
      <w:r>
        <w:rPr>
          <w:b w:val="0"/>
        </w:rPr>
      </w:r>
      <w:r>
        <w:rPr>
          <w:b/>
        </w:rPr>
        <w:t>Limites de Vida e Expectativa de Sobrevivência:</w:t>
      </w:r>
      <w:r>
        <w:rPr>
          <w:b w:val="0"/>
        </w:rPr>
        <w:t xml:space="preserve"> Um dos principais critérios de indicação para os cuidados paliativos é a expectativa de vida do paciente. Segundo Bruera et al. (2018), pacientes com uma expectativa de vida de menos de seis meses são mais propensos a beneficiar-se de cuidados paliativos. No entanto, é importante notar que essa é apenas uma das muitas variáveis que devem ser consideradas ao avaliar a necessidade de cuidados paliativos.</w:t>
      </w:r>
    </w:p>
    <w:p>
      <w:r>
        <w:rPr>
          <w:b w:val="0"/>
        </w:rPr>
      </w:r>
      <w:r>
        <w:rPr>
          <w:b/>
        </w:rPr>
        <w:t>Doenças Crônicas e Disfunções:</w:t>
      </w:r>
      <w:r>
        <w:rPr>
          <w:b w:val="0"/>
        </w:rPr>
        <w:t xml:space="preserve"> Além da expectativa de vida, doenças crônicas e disfunções também podem ser indicadores de necessidade de cuidados paliativos. Segundo Higginson et al. (2017), pacientes com doenças crônicas, como a doença de Alzheimer ou a fibrose cística, podem beneficiar-se de cuidados paliativos para melhorar a qualidade de vida e reduzir a dor e o sofrimento. A presença de disfunções, como dor crônica ou disfunção gastrointestinal, também pode ser um indicador de necessidade de cuidados paliativos.</w:t>
      </w:r>
    </w:p>
    <w:p>
      <w:r>
        <w:rPr>
          <w:b w:val="0"/>
        </w:rPr>
      </w:r>
      <w:r>
        <w:rPr>
          <w:b/>
        </w:rPr>
        <w:t>Avaliação da Qualidade de Vida:</w:t>
      </w:r>
      <w:r>
        <w:rPr>
          <w:b w:val="0"/>
        </w:rPr>
        <w:t xml:space="preserve"> A avaliação da qualidade de vida do paciente é outro critério importante para a indicação de cuidados paliativos. Segundo Portenoy et al. (2018), a presença de sintomas como dor, fadiga e perda de apetite pode indicar que o paciente está precisando de cuidados paliativos para melhorar a qualidade de vida.</w:t>
      </w:r>
    </w:p>
    <w:p>
      <w:pPr>
        <w:pStyle w:val="Ttulo1"/>
      </w:pPr>
      <w:r>
        <w:t>Estratégias de Cuidados Paliativos para Pacientes com Doenças Crônicas</w:t>
      </w:r>
    </w:p>
    <w:p>
      <w:r>
        <w:rPr>
          <w:b w:val="0"/>
        </w:rPr>
        <w:t>O cuidado paliativo é um componente essencial do atendimento médico para pacientes com doenças crônicas, que podem apresentar sintomas persistentes e desafiadores. Segundo Foley e Gelband (2019), o cuidado paliativo visa melhorar a qualidade de vida dos pacientes, reduzir o sofrimento e promover a dignidade e a autonomia. No entanto, a implementação dessas estratégias pode ser desafiadora, especialmente em pacientes com doenças crônicas complexas.</w:t>
      </w:r>
    </w:p>
    <w:p>
      <w:r>
        <w:rPr>
          <w:b w:val="0"/>
        </w:rPr>
      </w:r>
      <w:r>
        <w:rPr>
          <w:b/>
        </w:rPr>
        <w:t>Abordagem Multidisciplinar:</w:t>
      </w:r>
      <w:r>
        <w:rPr>
          <w:b w:val="0"/>
        </w:rPr>
        <w:t xml:space="preserve"> A abordagem multidisciplinar é fundamental para o cuidado paliativo de pacientes com doenças crônicas. Segundo Brinkman et al. (2018), a equipe de cuidado paliativo deve incluir profissionais de saúde com expertise em áreas como medicina, enfermagem, fisioterapia, psicologia e assistência social. Essa abordagem permite uma avaliação mais completa dos pacientes e a implementação de estratégias personalizadas para melhorar a qualidade de vida.</w:t>
      </w:r>
    </w:p>
    <w:p>
      <w:r>
        <w:rPr>
          <w:b w:val="0"/>
        </w:rPr>
      </w:r>
      <w:r>
        <w:rPr>
          <w:b/>
        </w:rPr>
        <w:t>Comunicação Eficaz:</w:t>
      </w:r>
      <w:r>
        <w:rPr>
          <w:b w:val="0"/>
        </w:rPr>
        <w:t xml:space="preserve"> A comunicação eficaz é crucial para o cuidado paliativo. Segundo Back et al. (2016), a comunicação deve ser clara, respeitosa e empática, e deve envolver o paciente, a família e a equipe de cuidado. A comunicação eficaz pode ajudar a reduzir o estresse e o sofrimento dos pacientes e suas famílias, e promover a adesão às estratégias de cuidado.</w:t>
      </w:r>
    </w:p>
    <w:p>
      <w:r>
        <w:rPr>
          <w:b w:val="0"/>
        </w:rPr>
      </w:r>
      <w:r>
        <w:rPr>
          <w:b/>
        </w:rPr>
        <w:t>Gerenciamento do Dor e do Sintoma:</w:t>
      </w:r>
      <w:r>
        <w:rPr>
          <w:b w:val="0"/>
        </w:rPr>
        <w:t xml:space="preserve"> O gerenciamento do dor e do sintoma é um componente essencial do cuidado paliativo. Segundo Portenoy (2017), a avaliação e o tratamento do dor e do sintoma devem ser personalizados e baseados em evidências. A equipe de cuidado paliativo deve trabalhar em estreita colaboração com o paciente e sua família para desenvolver estratégias eficazes para gerenciar o dor e o sintoma.</w:t>
      </w:r>
    </w:p>
    <w:p>
      <w:pPr>
        <w:pStyle w:val="Ttulo1"/>
      </w:pPr>
      <w:r>
        <w:t>Evidências Clínicas sobre os Cuidados Paliativos</w:t>
      </w:r>
    </w:p>
    <w:p>
      <w:r>
        <w:rPr>
          <w:b w:val="0"/>
        </w:rPr>
        <w:t>O cuidado paliativo é um componente essencial do atendimento médico, especialmente em pacientes com doenças crônicas ou avançadas. Segundo Foley e Gelband (2019), a evidência clínica sugere que os cuidados paliativos podem melhorar a qualidade de vida dos pacientes, reduzir a dor e o sofrimento, e aumentar a satisfação dos pacientes e seus familiares.</w:t>
      </w:r>
    </w:p>
    <w:p>
      <w:r>
        <w:rPr>
          <w:b w:val="0"/>
        </w:rPr>
      </w:r>
      <w:r>
        <w:rPr>
          <w:b/>
        </w:rPr>
        <w:t>Importância da Comunicação:</w:t>
      </w:r>
      <w:r>
        <w:rPr>
          <w:b w:val="0"/>
        </w:rPr>
        <w:t xml:space="preserve"> A comunicação eficaz é fundamental para o sucesso dos cuidados paliativos. Segundo Back et al. (2016), a comunicação entre os profissionais de saúde, os pacientes e seus familiares é crucial para entender as necessidades e preferências dos pacientes, e para desenvolver um plano de cuidado personalizado. A comunicação também pode ajudar a reduzir o estresse e o sofrimento dos pacientes e seus familiares.</w:t>
      </w:r>
    </w:p>
    <w:p>
      <w:r>
        <w:rPr>
          <w:b w:val="0"/>
        </w:rPr>
      </w:r>
      <w:r>
        <w:rPr>
          <w:b/>
        </w:rPr>
        <w:t>Role of the Healthcare Team:</w:t>
      </w:r>
      <w:r>
        <w:rPr>
          <w:b w:val="0"/>
        </w:rPr>
        <w:t xml:space="preserve"> O papel do time de saúde é crucial para o fornecimento de cuidados paliativos. Segundo Smith et al. (2018), o time de saúde deve trabalhar em conjunto para desenvolver um plano de cuidado que atenda às necessidades dos pacientes, e para fornecer apoio emocional e espiritual. O time de saúde também deve ser capaz de lidar com as mudanças e as complexidades que surgem durante o cuidado paliativo.</w:t>
      </w:r>
    </w:p>
    <w:p>
      <w:r>
        <w:rPr>
          <w:b w:val="0"/>
        </w:rPr>
      </w:r>
      <w:r>
        <w:rPr>
          <w:b/>
        </w:rPr>
        <w:t>Challenges and Opportunities:</w:t>
      </w:r>
      <w:r>
        <w:rPr>
          <w:b w:val="0"/>
        </w:rPr>
        <w:t xml:space="preserve"> Embora os cuidados paliativos sejam fundamentais para a qualidade de vida dos pacientes, eles também apresentam desafios e oportunidades. Segundo Kumar et al. (2020), os desafios incluem a falta de recursos, a falta de treinamento e a falta de apoio para os profissionais de saúde. No entanto, as oportunidades incluem a possibilidade de melhorar a qualidade de vida dos pacientes, reduzir a dor e o sofrimento, e aumentar a satisfação dos pacientes e seus familiares.</w:t>
      </w:r>
    </w:p>
    <w:p>
      <w:pPr>
        <w:pStyle w:val="Ttulo1"/>
      </w:pPr>
      <w:r>
        <w:t>Estudos e Resultados sobre os Cuidados Paliativos</w:t>
      </w:r>
    </w:p>
    <w:p>
      <w:r>
        <w:rPr>
          <w:b w:val="0"/>
        </w:rPr>
        <w:t>O estudo sobre os cuidados paliativos tem sido um tema de crescente importância nos últimos anos, especialmente no que se refere à melhoria da qualidade de vida de pacientes com doenças crônicas e terminais. Segundo Brinkman (2017), os cuidados paliativos são essenciais para atender às necessidades físicas, emocionais e espirituais dos pacientes, bem como para apoiar seus familiares e cuidadores.</w:t>
      </w:r>
    </w:p>
    <w:p>
      <w:r>
        <w:rPr>
          <w:b w:val="0"/>
        </w:rPr>
      </w:r>
      <w:r>
        <w:rPr>
          <w:b/>
        </w:rPr>
        <w:t>Impacto dos Cuidados Paliativos na Qualidade de Vida:</w:t>
      </w:r>
      <w:r>
        <w:rPr>
          <w:b w:val="0"/>
        </w:rPr>
        <w:t xml:space="preserve"> Vários estudos têm demonstrado que os cuidados paliativos podem melhorar significativamente a qualidade de vida dos pacientes. Segundo Morita (2013), os cuidados paliativos podem reduzir a dor, a ansiedade e a depressão, e melhorar a satisfação com a vida dos pacientes. Além disso, os cuidados paliativos também podem ajudar a melhorar a comunicação entre os pacientes e seus cuidadores, o que é fundamental para a gestão do sofrimento.</w:t>
      </w:r>
    </w:p>
    <w:p>
      <w:r>
        <w:rPr>
          <w:b w:val="0"/>
        </w:rPr>
      </w:r>
      <w:r>
        <w:rPr>
          <w:b/>
        </w:rPr>
        <w:t>Desafios e Limitações dos Cuidados Paliativos:</w:t>
      </w:r>
      <w:r>
        <w:rPr>
          <w:b w:val="0"/>
        </w:rPr>
        <w:t xml:space="preserve"> Embora os cuidados paliativos sejam essenciais para a melhoria da qualidade de vida dos pacientes, eles também apresentam desafios e limitações. Segundo Clark (2019), os cuidados paliativos podem ser afetados por fatores como a falta de recursos, a falta de treinamento adequado dos cuidadores e a falta de apoio social. Além disso, os cuidados paliativos também podem ser influenciados por fatores culturais e sociais, o que pode afetar a forma como os pacientes e seus cuidadores abordam a doença e o sofrimento.</w:t>
      </w:r>
    </w:p>
    <w:p>
      <w:pPr>
        <w:pStyle w:val="Ttulo1"/>
      </w:pPr>
      <w:r>
        <w:t>Desafios e Limitações nos Cuidados Paliativos</w:t>
      </w:r>
    </w:p>
    <w:p>
      <w:r>
        <w:rPr>
          <w:b w:val="0"/>
        </w:rPr>
        <w:t>Os cuidados paliativos são fundamentais para melhorar a qualidade de vida de pacientes com doenças crônicas e incuráveis. No entanto, os profissionais de saúde enfrentam desafios e limitações ao fornecer esses cuidados. Segundo Brinkman (2017), a falta de recursos financeiros e humanos é um dos principais obstáculos para a implementação de programas de cuidados paliativos de qualidade.</w:t>
      </w:r>
    </w:p>
    <w:p>
      <w:r>
        <w:rPr>
          <w:b w:val="0"/>
        </w:rPr>
      </w:r>
      <w:r>
        <w:rPr>
          <w:b/>
        </w:rPr>
        <w:t>Falta de Conhecimento e Treinamento:</w:t>
      </w:r>
      <w:r>
        <w:rPr>
          <w:b w:val="0"/>
        </w:rPr>
        <w:t xml:space="preserve"> Outro desafio é a falta de conhecimento e treinamento adequados entre os profissionais de saúde sobre os cuidados paliativos. Segundo Connor (2015), a educação e o treinamento em cuidados paliativos são essenciais para que os profissionais possam fornecer cuidados de alta qualidade e respeitar os direitos dos pacientes.</w:t>
      </w:r>
    </w:p>
    <w:p>
      <w:r>
        <w:rPr>
          <w:b w:val="0"/>
        </w:rPr>
      </w:r>
      <w:r>
        <w:rPr>
          <w:b/>
        </w:rPr>
        <w:t>Barreiras Culturais e Sociais:</w:t>
      </w:r>
      <w:r>
        <w:rPr>
          <w:b w:val="0"/>
        </w:rPr>
        <w:t xml:space="preserve"> A cultura e a sociedade também podem influenciar a forma como os cuidados paliativos são fornecidos. Segundo Kim (2019), a falta de compreensão sobre a importância dos cuidados paliativos em certas culturas pode levar a uma falta de adesão a esses cuidados. Além disso, a falta de recursos financeiros e a desigualdade social também podem afetar a capacidade dos pacientes de acessar cuidados paliativos de qualidade.</w:t>
      </w:r>
    </w:p>
    <w:p>
      <w:r>
        <w:rPr>
          <w:b w:val="0"/>
        </w:rPr>
      </w:r>
      <w:r>
        <w:rPr>
          <w:b/>
        </w:rPr>
        <w:t>Desafios Éticos:</w:t>
      </w:r>
      <w:r>
        <w:rPr>
          <w:b w:val="0"/>
        </w:rPr>
        <w:t xml:space="preserve"> Os cuidados paliativos também envolvem desafios éticos, como a decisão sobre quando parar ou não parar tratamentos invasivos. Segundo Sulmasy (2018), a comunicação eficaz entre os profissionais de saúde e os pacientes é fundamental para resolver esses desafios éticos e garantir que os cuidados paliativos sejam compatíveis com os valores e preferências dos pacientes.</w:t>
      </w:r>
    </w:p>
    <w:p>
      <w:pPr>
        <w:pStyle w:val="Ttulo1"/>
      </w:pPr>
      <w:r>
        <w:t>Conclusão</w:t>
      </w:r>
    </w:p>
    <w:p>
      <w:r>
        <w:rPr>
          <w:b w:val="0"/>
        </w:rP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Pr>
          <w:b w:val="0"/>
        </w:rPr>
      </w:r>
      <w:r>
        <w:rPr>
          <w:b/>
        </w:rPr>
        <w:t>Importância da Comunicação:</w:t>
      </w:r>
      <w:r>
        <w:rPr>
          <w:b w:val="0"/>
        </w:rP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Pr>
          <w:b w:val="0"/>
        </w:rPr>
      </w:r>
      <w:r>
        <w:rPr>
          <w:b/>
        </w:rPr>
        <w:t>Abordagem Multidisciplinar:</w:t>
      </w:r>
      <w:r>
        <w:rPr>
          <w:b w:val="0"/>
        </w:rP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pPr>
        <w:pStyle w:val="Ttulo1"/>
      </w:pPr>
      <w:r>
        <w:t>Referências</w:t>
      </w:r>
    </w:p>
    <w:p>
      <w:r>
        <w:rPr>
          <w:b w:val="0"/>
        </w:rP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Pr>
          <w:b w:val="0"/>
        </w:rPr>
      </w:r>
      <w:r>
        <w:rPr>
          <w:b/>
        </w:rPr>
        <w:t>Importância da Comunicação:</w:t>
      </w:r>
      <w:r>
        <w:rPr>
          <w:b w:val="0"/>
        </w:rP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Pr>
          <w:b w:val="0"/>
        </w:rPr>
      </w:r>
      <w:r>
        <w:rPr>
          <w:b/>
        </w:rPr>
        <w:t>Abordagem Multidisciplinar:</w:t>
      </w:r>
      <w:r>
        <w:rPr>
          <w:b w:val="0"/>
        </w:rP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