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A1A1A"/>
          <w:sz w:val="36"/>
          <w:szCs w:val="36"/>
        </w:rPr>
        <w:t xml:space="preserve">Quarterly Maintenance Checklist - Rotating Equipment, Area C</w:t>
      </w:r>
    </w:p>
    <w:tbl>
      <w:tblPr>
        <w:tblW w:type="dxa" w:w="10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0"/>
        <w:gridCol w:w="3004"/>
        <w:gridCol w:w="2250"/>
        <w:gridCol w:w="3002"/>
      </w:tblGrid>
      <w:tr>
        <w:tc>
          <w:tcPr>
            <w:tcW w:type="dxa" w:w="225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tcPr>
          <w:p>
            <w:r>
              <w:rPr>
                <w:b/>
                <w:bCs/>
                <w:sz w:val="21"/>
                <w:szCs w:val="21"/>
              </w:rPr>
              <w:t xml:space="preserve">Document No.</w:t>
            </w:r>
          </w:p>
        </w:tc>
        <w:tc>
          <w:tcPr>
            <w:tcW w:type="dxa" w:w="3004"/>
            <w:tcBorders>
              <w:top w:val="single" w:color="B7C2CC" w:sz="2"/>
              <w:left w:val="single" w:color="B7C2CC" w:sz="2"/>
              <w:bottom w:val="single" w:color="B7C2CC" w:sz="2"/>
              <w:right w:val="single" w:color="B7C2CC" w:sz="2"/>
            </w:tcBorders>
            <w:tcMar>
              <w:top w:type="dxa" w:w="60"/>
              <w:left w:type="dxa" w:w="80"/>
              <w:bottom w:type="dxa" w:w="60"/>
              <w:right w:type="dxa" w:w="80"/>
            </w:tcMar>
          </w:tcPr>
          <w:p>
            <w:r>
              <w:rPr>
                <w:sz w:val="21"/>
                <w:szCs w:val="21"/>
              </w:rPr>
              <w:t xml:space="preserve">FTP-OPS-CHK-031</w:t>
            </w:r>
          </w:p>
        </w:tc>
        <w:tc>
          <w:tcPr>
            <w:tcW w:type="dxa" w:w="225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tcPr>
          <w:p>
            <w:r>
              <w:rPr>
                <w:b/>
                <w:bCs/>
                <w:sz w:val="21"/>
                <w:szCs w:val="21"/>
              </w:rPr>
              <w:t xml:space="preserve">Revision</w:t>
            </w:r>
          </w:p>
        </w:tc>
        <w:tc>
          <w:tcPr>
            <w:tcW w:type="dxa" w:w="3002"/>
            <w:tcBorders>
              <w:top w:val="single" w:color="B7C2CC" w:sz="2"/>
              <w:left w:val="single" w:color="B7C2CC" w:sz="2"/>
              <w:bottom w:val="single" w:color="B7C2CC" w:sz="2"/>
              <w:right w:val="single" w:color="B7C2CC" w:sz="2"/>
            </w:tcBorders>
            <w:tcMar>
              <w:top w:type="dxa" w:w="60"/>
              <w:left w:type="dxa" w:w="80"/>
              <w:bottom w:type="dxa" w:w="60"/>
              <w:right w:type="dxa" w:w="80"/>
            </w:tcMar>
          </w:tcPr>
          <w:p>
            <w:r>
              <w:rPr>
                <w:sz w:val="21"/>
                <w:szCs w:val="21"/>
              </w:rPr>
              <w:t xml:space="preserve">3.2</w:t>
            </w:r>
          </w:p>
        </w:tc>
      </w:tr>
      <w:tr>
        <w:tc>
          <w:tcPr>
            <w:tcW w:type="dxa" w:w="225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tcPr>
          <w:p>
            <w:r>
              <w:rPr>
                <w:b/>
                <w:bCs/>
                <w:sz w:val="21"/>
                <w:szCs w:val="21"/>
              </w:rPr>
              <w:t xml:space="preserve">Checklist Period</w:t>
            </w:r>
          </w:p>
        </w:tc>
        <w:tc>
          <w:tcPr>
            <w:tcW w:type="dxa" w:w="3004"/>
            <w:tcBorders>
              <w:top w:val="single" w:color="B7C2CC" w:sz="2"/>
              <w:left w:val="single" w:color="B7C2CC" w:sz="2"/>
              <w:bottom w:val="single" w:color="B7C2CC" w:sz="2"/>
              <w:right w:val="single" w:color="B7C2CC" w:sz="2"/>
            </w:tcBorders>
            <w:tcMar>
              <w:top w:type="dxa" w:w="60"/>
              <w:left w:type="dxa" w:w="80"/>
              <w:bottom w:type="dxa" w:w="60"/>
              <w:right w:type="dxa" w:w="80"/>
            </w:tcMar>
          </w:tcPr>
          <w:p>
            <w:r>
              <w:rPr>
                <w:sz w:val="21"/>
                <w:szCs w:val="21"/>
              </w:rPr>
              <w:t xml:space="preserve">Q3 2026 (Jul-Sep)</w:t>
            </w:r>
          </w:p>
        </w:tc>
        <w:tc>
          <w:tcPr>
            <w:tcW w:type="dxa" w:w="225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tcPr>
          <w:p>
            <w:r>
              <w:rPr>
                <w:b/>
                <w:bCs/>
                <w:sz w:val="21"/>
                <w:szCs w:val="21"/>
              </w:rPr>
              <w:t xml:space="preserve">Department</w:t>
            </w:r>
          </w:p>
        </w:tc>
        <w:tc>
          <w:tcPr>
            <w:tcW w:type="dxa" w:w="3002"/>
            <w:tcBorders>
              <w:top w:val="single" w:color="B7C2CC" w:sz="2"/>
              <w:left w:val="single" w:color="B7C2CC" w:sz="2"/>
              <w:bottom w:val="single" w:color="B7C2CC" w:sz="2"/>
              <w:right w:val="single" w:color="B7C2CC" w:sz="2"/>
            </w:tcBorders>
            <w:tcMar>
              <w:top w:type="dxa" w:w="60"/>
              <w:left w:type="dxa" w:w="80"/>
              <w:bottom w:type="dxa" w:w="60"/>
              <w:right w:type="dxa" w:w="80"/>
            </w:tcMar>
          </w:tcPr>
          <w:p>
            <w:r>
              <w:rPr>
                <w:sz w:val="21"/>
                <w:szCs w:val="21"/>
              </w:rPr>
              <w:t xml:space="preserve">Operations / Mechanical Maintenance</w:t>
            </w:r>
          </w:p>
        </w:tc>
      </w:tr>
      <w:tr>
        <w:tc>
          <w:tcPr>
            <w:tcW w:type="dxa" w:w="225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tcPr>
          <w:p>
            <w:r>
              <w:rPr>
                <w:b/>
                <w:bCs/>
                <w:sz w:val="21"/>
                <w:szCs w:val="21"/>
              </w:rPr>
              <w:t xml:space="preserve">Area / Location</w:t>
            </w:r>
          </w:p>
        </w:tc>
        <w:tc>
          <w:tcPr>
            <w:tcW w:type="dxa" w:w="3004"/>
            <w:tcBorders>
              <w:top w:val="single" w:color="B7C2CC" w:sz="2"/>
              <w:left w:val="single" w:color="B7C2CC" w:sz="2"/>
              <w:bottom w:val="single" w:color="B7C2CC" w:sz="2"/>
              <w:right w:val="single" w:color="B7C2CC" w:sz="2"/>
            </w:tcBorders>
            <w:tcMar>
              <w:top w:type="dxa" w:w="60"/>
              <w:left w:type="dxa" w:w="80"/>
              <w:bottom w:type="dxa" w:w="60"/>
              <w:right w:type="dxa" w:w="80"/>
            </w:tcMar>
          </w:tcPr>
          <w:p>
            <w:r>
              <w:rPr>
                <w:sz w:val="21"/>
                <w:szCs w:val="21"/>
              </w:rPr>
              <w:t xml:space="preserve">Area C - Rotating Equipment Bay</w:t>
            </w:r>
          </w:p>
        </w:tc>
        <w:tc>
          <w:tcPr>
            <w:tcW w:type="dxa" w:w="225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tcPr>
          <w:p>
            <w:r>
              <w:rPr>
                <w:b/>
                <w:bCs/>
                <w:sz w:val="21"/>
                <w:szCs w:val="21"/>
              </w:rPr>
              <w:t xml:space="preserve">Frequency</w:t>
            </w:r>
          </w:p>
        </w:tc>
        <w:tc>
          <w:tcPr>
            <w:tcW w:type="dxa" w:w="3002"/>
            <w:tcBorders>
              <w:top w:val="single" w:color="B7C2CC" w:sz="2"/>
              <w:left w:val="single" w:color="B7C2CC" w:sz="2"/>
              <w:bottom w:val="single" w:color="B7C2CC" w:sz="2"/>
              <w:right w:val="single" w:color="B7C2CC" w:sz="2"/>
            </w:tcBorders>
            <w:tcMar>
              <w:top w:type="dxa" w:w="60"/>
              <w:left w:type="dxa" w:w="80"/>
              <w:bottom w:type="dxa" w:w="60"/>
              <w:right w:type="dxa" w:w="80"/>
            </w:tcMar>
          </w:tcPr>
          <w:p>
            <w:r>
              <w:rPr>
                <w:sz w:val="21"/>
                <w:szCs w:val="21"/>
              </w:rPr>
              <w:t xml:space="preserve">Weekly (13 checks per quarter)</w:t>
            </w:r>
          </w:p>
        </w:tc>
      </w:tr>
      <w:tr>
        <w:tc>
          <w:tcPr>
            <w:tcW w:type="dxa" w:w="225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tcPr>
          <w:p>
            <w:r>
              <w:rPr>
                <w:b/>
                <w:bCs/>
                <w:sz w:val="21"/>
                <w:szCs w:val="21"/>
              </w:rPr>
              <w:t xml:space="preserve">Prepared By</w:t>
            </w:r>
          </w:p>
        </w:tc>
        <w:tc>
          <w:tcPr>
            <w:tcW w:type="dxa" w:w="3004"/>
            <w:tcBorders>
              <w:top w:val="single" w:color="B7C2CC" w:sz="2"/>
              <w:left w:val="single" w:color="B7C2CC" w:sz="2"/>
              <w:bottom w:val="single" w:color="B7C2CC" w:sz="2"/>
              <w:right w:val="single" w:color="B7C2CC" w:sz="2"/>
            </w:tcBorders>
            <w:tcMar>
              <w:top w:type="dxa" w:w="60"/>
              <w:left w:type="dxa" w:w="80"/>
              <w:bottom w:type="dxa" w:w="60"/>
              <w:right w:type="dxa" w:w="80"/>
            </w:tcMar>
          </w:tcPr>
          <w:p>
            <w:r>
              <w:rPr>
                <w:sz w:val="21"/>
                <w:szCs w:val="21"/>
              </w:rPr>
              <w:t xml:space="preserve">R. Iyer, Head - Operations</w:t>
            </w:r>
          </w:p>
        </w:tc>
        <w:tc>
          <w:tcPr>
            <w:tcW w:type="dxa" w:w="225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tcPr>
          <w:p>
            <w:r>
              <w:rPr>
                <w:b/>
                <w:bCs/>
                <w:sz w:val="21"/>
                <w:szCs w:val="21"/>
              </w:rPr>
              <w:t xml:space="preserve">Approved By</w:t>
            </w:r>
          </w:p>
        </w:tc>
        <w:tc>
          <w:tcPr>
            <w:tcW w:type="dxa" w:w="3002"/>
            <w:tcBorders>
              <w:top w:val="single" w:color="B7C2CC" w:sz="2"/>
              <w:left w:val="single" w:color="B7C2CC" w:sz="2"/>
              <w:bottom w:val="single" w:color="B7C2CC" w:sz="2"/>
              <w:right w:val="single" w:color="B7C2CC" w:sz="2"/>
            </w:tcBorders>
            <w:tcMar>
              <w:top w:type="dxa" w:w="60"/>
              <w:left w:type="dxa" w:w="80"/>
              <w:bottom w:type="dxa" w:w="60"/>
              <w:right w:type="dxa" w:w="80"/>
            </w:tcMar>
          </w:tcPr>
          <w:p>
            <w:r>
              <w:rPr>
                <w:sz w:val="21"/>
                <w:szCs w:val="21"/>
              </w:rPr>
              <w:t xml:space="preserve">Plant Manager, FortTrace Plant Operations</w:t>
            </w:r>
          </w:p>
        </w:tc>
      </w:tr>
    </w:tbl>
    <w:p>
      <w:pPr>
        <w:spacing w:after="160"/>
      </w:pPr>
    </w:p>
    <w:p>
      <w:pPr>
        <w:pStyle w:val="Heading1"/>
        <w:spacing w:after="140" w:before="260"/>
      </w:pPr>
      <w:r>
        <w:rPr>
          <w:b/>
          <w:bCs/>
          <w:color w:val="003366"/>
          <w:sz w:val="30"/>
          <w:szCs w:val="30"/>
        </w:rPr>
        <w:t xml:space="preserve">1. Purpose</w:t>
      </w:r>
    </w:p>
    <w:p>
      <w:pPr>
        <w:spacing w:after="120"/>
      </w:pPr>
      <w:r>
        <w:rPr>
          <w:sz w:val="23"/>
          <w:szCs w:val="23"/>
        </w:rPr>
        <w:t xml:space="preserve">This checklist records the weekly preventive maintenance inspection of rotating equipment installed in Area C (Rotating Equipment Bay) for the third quarter of 2026. It covers routine condition checks on pumps, the process air compressor, the cooling air blower, and the agitator drive train, in accordance with the Area C preventive maintenance schedule.</w:t>
      </w:r>
    </w:p>
    <w:p>
      <w:pPr>
        <w:pStyle w:val="Heading1"/>
        <w:spacing w:after="140" w:before="260"/>
      </w:pPr>
      <w:r>
        <w:rPr>
          <w:b/>
          <w:bCs/>
          <w:color w:val="003366"/>
          <w:sz w:val="30"/>
          <w:szCs w:val="30"/>
        </w:rPr>
        <w:t xml:space="preserve">2. Weekly Inspection Task List</w:t>
      </w:r>
    </w:p>
    <w:tbl>
      <w:tblPr>
        <w:tblW w:type="dxa" w:w="10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1630"/>
        <w:gridCol w:w="3480"/>
        <w:gridCol w:w="1010"/>
        <w:gridCol w:w="1800"/>
        <w:gridCol w:w="1010"/>
        <w:gridCol w:w="1016"/>
      </w:tblGrid>
      <w:tr>
        <w:trPr>
          <w:tblHeader/>
        </w:trPr>
        <w:tc>
          <w:tcPr>
            <w:tcW w:type="dxa" w:w="560"/>
            <w:tcBorders>
              <w:top w:val="single" w:color="B7C2CC" w:sz="2"/>
              <w:left w:val="single" w:color="B7C2CC" w:sz="2"/>
              <w:bottom w:val="single" w:color="B7C2CC" w:sz="2"/>
              <w:right w:val="single" w:color="B7C2CC" w:sz="2"/>
            </w:tcBorders>
            <w:shd w:fill="003366" w:val="clear"/>
            <w:tcMar>
              <w:top w:type="dxa" w:w="60"/>
              <w:left w:type="dxa" w:w="80"/>
              <w:bottom w:type="dxa" w:w="60"/>
              <w:right w:type="dxa" w:w="80"/>
            </w:tcMar>
            <w:vAlign w:val="center"/>
          </w:tcPr>
          <w:p>
            <w:r>
              <w:rPr>
                <w:b/>
                <w:bCs/>
                <w:color w:val="FFFFFF"/>
                <w:sz w:val="20"/>
                <w:szCs w:val="20"/>
              </w:rPr>
              <w:t xml:space="preserve">S.No</w:t>
            </w:r>
          </w:p>
        </w:tc>
        <w:tc>
          <w:tcPr>
            <w:tcW w:type="dxa" w:w="1630"/>
            <w:tcBorders>
              <w:top w:val="single" w:color="B7C2CC" w:sz="2"/>
              <w:left w:val="single" w:color="B7C2CC" w:sz="2"/>
              <w:bottom w:val="single" w:color="B7C2CC" w:sz="2"/>
              <w:right w:val="single" w:color="B7C2CC" w:sz="2"/>
            </w:tcBorders>
            <w:shd w:fill="003366" w:val="clear"/>
            <w:tcMar>
              <w:top w:type="dxa" w:w="60"/>
              <w:left w:type="dxa" w:w="80"/>
              <w:bottom w:type="dxa" w:w="60"/>
              <w:right w:type="dxa" w:w="80"/>
            </w:tcMar>
            <w:vAlign w:val="center"/>
          </w:tcPr>
          <w:p>
            <w:r>
              <w:rPr>
                <w:b/>
                <w:bCs/>
                <w:color w:val="FFFFFF"/>
                <w:sz w:val="20"/>
                <w:szCs w:val="20"/>
              </w:rPr>
              <w:t xml:space="preserve">Equipment Tag</w:t>
            </w:r>
          </w:p>
        </w:tc>
        <w:tc>
          <w:tcPr>
            <w:tcW w:type="dxa" w:w="3480"/>
            <w:tcBorders>
              <w:top w:val="single" w:color="B7C2CC" w:sz="2"/>
              <w:left w:val="single" w:color="B7C2CC" w:sz="2"/>
              <w:bottom w:val="single" w:color="B7C2CC" w:sz="2"/>
              <w:right w:val="single" w:color="B7C2CC" w:sz="2"/>
            </w:tcBorders>
            <w:shd w:fill="003366" w:val="clear"/>
            <w:tcMar>
              <w:top w:type="dxa" w:w="60"/>
              <w:left w:type="dxa" w:w="80"/>
              <w:bottom w:type="dxa" w:w="60"/>
              <w:right w:type="dxa" w:w="80"/>
            </w:tcMar>
            <w:vAlign w:val="center"/>
          </w:tcPr>
          <w:p>
            <w:r>
              <w:rPr>
                <w:b/>
                <w:bCs/>
                <w:color w:val="FFFFFF"/>
                <w:sz w:val="20"/>
                <w:szCs w:val="20"/>
              </w:rPr>
              <w:t xml:space="preserve">Inspection Task</w:t>
            </w:r>
          </w:p>
        </w:tc>
        <w:tc>
          <w:tcPr>
            <w:tcW w:type="dxa" w:w="1010"/>
            <w:tcBorders>
              <w:top w:val="single" w:color="B7C2CC" w:sz="2"/>
              <w:left w:val="single" w:color="B7C2CC" w:sz="2"/>
              <w:bottom w:val="single" w:color="B7C2CC" w:sz="2"/>
              <w:right w:val="single" w:color="B7C2CC" w:sz="2"/>
            </w:tcBorders>
            <w:shd w:fill="003366" w:val="clear"/>
            <w:tcMar>
              <w:top w:type="dxa" w:w="60"/>
              <w:left w:type="dxa" w:w="80"/>
              <w:bottom w:type="dxa" w:w="60"/>
              <w:right w:type="dxa" w:w="80"/>
            </w:tcMar>
            <w:vAlign w:val="center"/>
          </w:tcPr>
          <w:p>
            <w:r>
              <w:rPr>
                <w:b/>
                <w:bCs/>
                <w:color w:val="FFFFFF"/>
                <w:sz w:val="20"/>
                <w:szCs w:val="20"/>
              </w:rPr>
              <w:t xml:space="preserve">Frequency</w:t>
            </w:r>
          </w:p>
        </w:tc>
        <w:tc>
          <w:tcPr>
            <w:tcW w:type="dxa" w:w="1800"/>
            <w:tcBorders>
              <w:top w:val="single" w:color="B7C2CC" w:sz="2"/>
              <w:left w:val="single" w:color="B7C2CC" w:sz="2"/>
              <w:bottom w:val="single" w:color="B7C2CC" w:sz="2"/>
              <w:right w:val="single" w:color="B7C2CC" w:sz="2"/>
            </w:tcBorders>
            <w:shd w:fill="003366" w:val="clear"/>
            <w:tcMar>
              <w:top w:type="dxa" w:w="60"/>
              <w:left w:type="dxa" w:w="80"/>
              <w:bottom w:type="dxa" w:w="60"/>
              <w:right w:type="dxa" w:w="80"/>
            </w:tcMar>
            <w:vAlign w:val="center"/>
          </w:tcPr>
          <w:p>
            <w:r>
              <w:rPr>
                <w:b/>
                <w:bCs/>
                <w:color w:val="FFFFFF"/>
                <w:sz w:val="20"/>
                <w:szCs w:val="20"/>
              </w:rPr>
              <w:t xml:space="preserve">Acceptance Standard</w:t>
            </w:r>
          </w:p>
        </w:tc>
        <w:tc>
          <w:tcPr>
            <w:tcW w:type="dxa" w:w="1010"/>
            <w:tcBorders>
              <w:top w:val="single" w:color="B7C2CC" w:sz="2"/>
              <w:left w:val="single" w:color="B7C2CC" w:sz="2"/>
              <w:bottom w:val="single" w:color="B7C2CC" w:sz="2"/>
              <w:right w:val="single" w:color="B7C2CC" w:sz="2"/>
            </w:tcBorders>
            <w:shd w:fill="003366" w:val="clear"/>
            <w:tcMar>
              <w:top w:type="dxa" w:w="60"/>
              <w:left w:type="dxa" w:w="80"/>
              <w:bottom w:type="dxa" w:w="60"/>
              <w:right w:type="dxa" w:w="80"/>
            </w:tcMar>
            <w:vAlign w:val="center"/>
          </w:tcPr>
          <w:p>
            <w:r>
              <w:rPr>
                <w:b/>
                <w:bCs/>
                <w:color w:val="FFFFFF"/>
                <w:sz w:val="20"/>
                <w:szCs w:val="20"/>
              </w:rPr>
              <w:t xml:space="preserve">Status (P/F)</w:t>
            </w:r>
          </w:p>
        </w:tc>
        <w:tc>
          <w:tcPr>
            <w:tcW w:type="dxa" w:w="1016"/>
            <w:tcBorders>
              <w:top w:val="single" w:color="B7C2CC" w:sz="2"/>
              <w:left w:val="single" w:color="B7C2CC" w:sz="2"/>
              <w:bottom w:val="single" w:color="B7C2CC" w:sz="2"/>
              <w:right w:val="single" w:color="B7C2CC" w:sz="2"/>
            </w:tcBorders>
            <w:shd w:fill="003366" w:val="clear"/>
            <w:tcMar>
              <w:top w:type="dxa" w:w="60"/>
              <w:left w:type="dxa" w:w="80"/>
              <w:bottom w:type="dxa" w:w="60"/>
              <w:right w:type="dxa" w:w="80"/>
            </w:tcMar>
            <w:vAlign w:val="center"/>
          </w:tcPr>
          <w:p>
            <w:r>
              <w:rPr>
                <w:b/>
                <w:bCs/>
                <w:color w:val="FFFFFF"/>
                <w:sz w:val="20"/>
                <w:szCs w:val="20"/>
              </w:rPr>
              <w:t xml:space="preserve">Remarks</w:t>
            </w:r>
          </w:p>
        </w:tc>
      </w:tr>
      <w:tr>
        <w:tc>
          <w:tcPr>
            <w:tcW w:type="dxa" w:w="56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1</w:t>
            </w:r>
          </w:p>
        </w:tc>
        <w:tc>
          <w:tcPr>
            <w:tcW w:type="dxa" w:w="163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bCs/>
                <w:sz w:val="20"/>
                <w:szCs w:val="20"/>
              </w:rPr>
              <w:t xml:space="preserve">P-101A</w:t>
            </w:r>
          </w:p>
        </w:tc>
        <w:tc>
          <w:tcPr>
            <w:tcW w:type="dxa" w:w="348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Check pump bearing housing temperature (DE / NDE)</w:t>
            </w:r>
          </w:p>
        </w:tc>
        <w:tc>
          <w:tcPr>
            <w:tcW w:type="dxa" w:w="101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Weekly</w:t>
            </w:r>
          </w:p>
        </w:tc>
        <w:tc>
          <w:tcPr>
            <w:tcW w:type="dxa" w:w="180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 70°C (per FTP-MNT-STD-004)</w:t>
            </w:r>
          </w:p>
        </w:tc>
        <w:tc>
          <w:tcPr>
            <w:tcW w:type="dxa" w:w="101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
            </w:r>
          </w:p>
        </w:tc>
        <w:tc>
          <w:tcPr>
            <w:tcW w:type="dxa" w:w="1016"/>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
            </w:r>
          </w:p>
        </w:tc>
      </w:tr>
      <w:tr>
        <w:tc>
          <w:tcPr>
            <w:tcW w:type="dxa" w:w="56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2</w:t>
            </w:r>
          </w:p>
        </w:tc>
        <w:tc>
          <w:tcPr>
            <w:tcW w:type="dxa" w:w="163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bCs/>
                <w:sz w:val="20"/>
                <w:szCs w:val="20"/>
              </w:rPr>
              <w:t xml:space="preserve">P-101B</w:t>
            </w:r>
          </w:p>
        </w:tc>
        <w:tc>
          <w:tcPr>
            <w:tcW w:type="dxa" w:w="348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Check pump bearing housing temperature (DE / NDE)</w:t>
            </w:r>
          </w:p>
        </w:tc>
        <w:tc>
          <w:tcPr>
            <w:tcW w:type="dxa" w:w="101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Weekly</w:t>
            </w:r>
          </w:p>
        </w:tc>
        <w:tc>
          <w:tcPr>
            <w:tcW w:type="dxa" w:w="180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 70°C (per FTP-MNT-STD-004)</w:t>
            </w:r>
          </w:p>
        </w:tc>
        <w:tc>
          <w:tcPr>
            <w:tcW w:type="dxa" w:w="101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
            </w:r>
          </w:p>
        </w:tc>
        <w:tc>
          <w:tcPr>
            <w:tcW w:type="dxa" w:w="1016"/>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
            </w:r>
          </w:p>
        </w:tc>
      </w:tr>
      <w:tr>
        <w:tc>
          <w:tcPr>
            <w:tcW w:type="dxa" w:w="56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3</w:t>
            </w:r>
          </w:p>
        </w:tc>
        <w:tc>
          <w:tcPr>
            <w:tcW w:type="dxa" w:w="163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bCs/>
                <w:sz w:val="20"/>
                <w:szCs w:val="20"/>
              </w:rPr>
              <w:t xml:space="preserve">P-101A/B</w:t>
            </w:r>
          </w:p>
        </w:tc>
        <w:tc>
          <w:tcPr>
            <w:tcW w:type="dxa" w:w="348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Inspect for shaft seal / gland packing leakage</w:t>
            </w:r>
          </w:p>
        </w:tc>
        <w:tc>
          <w:tcPr>
            <w:tcW w:type="dxa" w:w="101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Weekly</w:t>
            </w:r>
          </w:p>
        </w:tc>
        <w:tc>
          <w:tcPr>
            <w:tcW w:type="dxa" w:w="180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No visible leakage beyond drip tray</w:t>
            </w:r>
          </w:p>
        </w:tc>
        <w:tc>
          <w:tcPr>
            <w:tcW w:type="dxa" w:w="101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
            </w:r>
          </w:p>
        </w:tc>
        <w:tc>
          <w:tcPr>
            <w:tcW w:type="dxa" w:w="1016"/>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
            </w:r>
          </w:p>
        </w:tc>
      </w:tr>
      <w:tr>
        <w:tc>
          <w:tcPr>
            <w:tcW w:type="dxa" w:w="56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4</w:t>
            </w:r>
          </w:p>
        </w:tc>
        <w:tc>
          <w:tcPr>
            <w:tcW w:type="dxa" w:w="163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bCs/>
                <w:sz w:val="20"/>
                <w:szCs w:val="20"/>
              </w:rPr>
              <w:t xml:space="preserve">P-101A/B</w:t>
            </w:r>
          </w:p>
        </w:tc>
        <w:tc>
          <w:tcPr>
            <w:tcW w:type="dxa" w:w="348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Vibration check - overall velocity (RMS)</w:t>
            </w:r>
          </w:p>
        </w:tc>
        <w:tc>
          <w:tcPr>
            <w:tcW w:type="dxa" w:w="101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Weekly</w:t>
            </w:r>
          </w:p>
        </w:tc>
        <w:tc>
          <w:tcPr>
            <w:tcW w:type="dxa" w:w="180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 4.5 mm/s (ISO 10816-3, Zone B)</w:t>
            </w:r>
          </w:p>
        </w:tc>
        <w:tc>
          <w:tcPr>
            <w:tcW w:type="dxa" w:w="101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
            </w:r>
          </w:p>
        </w:tc>
        <w:tc>
          <w:tcPr>
            <w:tcW w:type="dxa" w:w="1016"/>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
            </w:r>
          </w:p>
        </w:tc>
      </w:tr>
      <w:tr>
        <w:tc>
          <w:tcPr>
            <w:tcW w:type="dxa" w:w="56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5</w:t>
            </w:r>
          </w:p>
        </w:tc>
        <w:tc>
          <w:tcPr>
            <w:tcW w:type="dxa" w:w="163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bCs/>
                <w:sz w:val="20"/>
                <w:szCs w:val="20"/>
              </w:rPr>
              <w:t xml:space="preserve">C-201</w:t>
            </w:r>
          </w:p>
        </w:tc>
        <w:tc>
          <w:tcPr>
            <w:tcW w:type="dxa" w:w="348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Check compressor discharge pressure vs. rated</w:t>
            </w:r>
          </w:p>
        </w:tc>
        <w:tc>
          <w:tcPr>
            <w:tcW w:type="dxa" w:w="101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Weekly</w:t>
            </w:r>
          </w:p>
        </w:tc>
        <w:tc>
          <w:tcPr>
            <w:tcW w:type="dxa" w:w="180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Within ±5% of design (12.5 barg)</w:t>
            </w:r>
          </w:p>
        </w:tc>
        <w:tc>
          <w:tcPr>
            <w:tcW w:type="dxa" w:w="101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
            </w:r>
          </w:p>
        </w:tc>
        <w:tc>
          <w:tcPr>
            <w:tcW w:type="dxa" w:w="1016"/>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
            </w:r>
          </w:p>
        </w:tc>
      </w:tr>
      <w:tr>
        <w:tc>
          <w:tcPr>
            <w:tcW w:type="dxa" w:w="56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6</w:t>
            </w:r>
          </w:p>
        </w:tc>
        <w:tc>
          <w:tcPr>
            <w:tcW w:type="dxa" w:w="163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bCs/>
                <w:sz w:val="20"/>
                <w:szCs w:val="20"/>
              </w:rPr>
              <w:t xml:space="preserve">C-201</w:t>
            </w:r>
          </w:p>
        </w:tc>
        <w:tc>
          <w:tcPr>
            <w:tcW w:type="dxa" w:w="348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Inspect inter-stage cooler for fouling / leaks</w:t>
            </w:r>
          </w:p>
        </w:tc>
        <w:tc>
          <w:tcPr>
            <w:tcW w:type="dxa" w:w="101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Weekly</w:t>
            </w:r>
          </w:p>
        </w:tc>
        <w:tc>
          <w:tcPr>
            <w:tcW w:type="dxa" w:w="180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No fouling, no visible leaks</w:t>
            </w:r>
          </w:p>
        </w:tc>
        <w:tc>
          <w:tcPr>
            <w:tcW w:type="dxa" w:w="101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
            </w:r>
          </w:p>
        </w:tc>
        <w:tc>
          <w:tcPr>
            <w:tcW w:type="dxa" w:w="1016"/>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
            </w:r>
          </w:p>
        </w:tc>
      </w:tr>
      <w:tr>
        <w:tc>
          <w:tcPr>
            <w:tcW w:type="dxa" w:w="56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7</w:t>
            </w:r>
          </w:p>
        </w:tc>
        <w:tc>
          <w:tcPr>
            <w:tcW w:type="dxa" w:w="163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bCs/>
                <w:sz w:val="20"/>
                <w:szCs w:val="20"/>
              </w:rPr>
              <w:t xml:space="preserve">C-201</w:t>
            </w:r>
          </w:p>
        </w:tc>
        <w:tc>
          <w:tcPr>
            <w:tcW w:type="dxa" w:w="348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Check lube oil level and condition (sight glass)</w:t>
            </w:r>
          </w:p>
        </w:tc>
        <w:tc>
          <w:tcPr>
            <w:tcW w:type="dxa" w:w="101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Weekly</w:t>
            </w:r>
          </w:p>
        </w:tc>
        <w:tc>
          <w:tcPr>
            <w:tcW w:type="dxa" w:w="180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Between MIN-MAX marks, no discoloration</w:t>
            </w:r>
          </w:p>
        </w:tc>
        <w:tc>
          <w:tcPr>
            <w:tcW w:type="dxa" w:w="101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
            </w:r>
          </w:p>
        </w:tc>
        <w:tc>
          <w:tcPr>
            <w:tcW w:type="dxa" w:w="1016"/>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
            </w:r>
          </w:p>
        </w:tc>
      </w:tr>
      <w:tr>
        <w:tc>
          <w:tcPr>
            <w:tcW w:type="dxa" w:w="56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8</w:t>
            </w:r>
          </w:p>
        </w:tc>
        <w:tc>
          <w:tcPr>
            <w:tcW w:type="dxa" w:w="163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bCs/>
                <w:sz w:val="20"/>
                <w:szCs w:val="20"/>
              </w:rPr>
              <w:t xml:space="preserve">B-305</w:t>
            </w:r>
          </w:p>
        </w:tc>
        <w:tc>
          <w:tcPr>
            <w:tcW w:type="dxa" w:w="348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Check blower belt tension and alignment</w:t>
            </w:r>
          </w:p>
        </w:tc>
        <w:tc>
          <w:tcPr>
            <w:tcW w:type="dxa" w:w="101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Weekly</w:t>
            </w:r>
          </w:p>
        </w:tc>
        <w:tc>
          <w:tcPr>
            <w:tcW w:type="dxa" w:w="180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Deflection per OEM manual ±10%</w:t>
            </w:r>
          </w:p>
        </w:tc>
        <w:tc>
          <w:tcPr>
            <w:tcW w:type="dxa" w:w="101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
            </w:r>
          </w:p>
        </w:tc>
        <w:tc>
          <w:tcPr>
            <w:tcW w:type="dxa" w:w="1016"/>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
            </w:r>
          </w:p>
        </w:tc>
      </w:tr>
      <w:tr>
        <w:tc>
          <w:tcPr>
            <w:tcW w:type="dxa" w:w="56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9</w:t>
            </w:r>
          </w:p>
        </w:tc>
        <w:tc>
          <w:tcPr>
            <w:tcW w:type="dxa" w:w="163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bCs/>
                <w:sz w:val="20"/>
                <w:szCs w:val="20"/>
              </w:rPr>
              <w:t xml:space="preserve">B-305</w:t>
            </w:r>
          </w:p>
        </w:tc>
        <w:tc>
          <w:tcPr>
            <w:tcW w:type="dxa" w:w="348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Inspect motor cooling fan and air intake screen</w:t>
            </w:r>
          </w:p>
        </w:tc>
        <w:tc>
          <w:tcPr>
            <w:tcW w:type="dxa" w:w="101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Weekly</w:t>
            </w:r>
          </w:p>
        </w:tc>
        <w:tc>
          <w:tcPr>
            <w:tcW w:type="dxa" w:w="180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Free of dust/debris blockage</w:t>
            </w:r>
          </w:p>
        </w:tc>
        <w:tc>
          <w:tcPr>
            <w:tcW w:type="dxa" w:w="101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
            </w:r>
          </w:p>
        </w:tc>
        <w:tc>
          <w:tcPr>
            <w:tcW w:type="dxa" w:w="1016"/>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
            </w:r>
          </w:p>
        </w:tc>
      </w:tr>
      <w:tr>
        <w:tc>
          <w:tcPr>
            <w:tcW w:type="dxa" w:w="56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10</w:t>
            </w:r>
          </w:p>
        </w:tc>
        <w:tc>
          <w:tcPr>
            <w:tcW w:type="dxa" w:w="163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bCs/>
                <w:sz w:val="20"/>
                <w:szCs w:val="20"/>
              </w:rPr>
              <w:t xml:space="preserve">AG-410</w:t>
            </w:r>
          </w:p>
        </w:tc>
        <w:tc>
          <w:tcPr>
            <w:tcW w:type="dxa" w:w="348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Check agitator gearbox oil temperature</w:t>
            </w:r>
          </w:p>
        </w:tc>
        <w:tc>
          <w:tcPr>
            <w:tcW w:type="dxa" w:w="101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Weekly</w:t>
            </w:r>
          </w:p>
        </w:tc>
        <w:tc>
          <w:tcPr>
            <w:tcW w:type="dxa" w:w="180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 80°C (per OEM datasheet)</w:t>
            </w:r>
          </w:p>
        </w:tc>
        <w:tc>
          <w:tcPr>
            <w:tcW w:type="dxa" w:w="101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
            </w:r>
          </w:p>
        </w:tc>
        <w:tc>
          <w:tcPr>
            <w:tcW w:type="dxa" w:w="1016"/>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
            </w:r>
          </w:p>
        </w:tc>
      </w:tr>
      <w:tr>
        <w:tc>
          <w:tcPr>
            <w:tcW w:type="dxa" w:w="56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11</w:t>
            </w:r>
          </w:p>
        </w:tc>
        <w:tc>
          <w:tcPr>
            <w:tcW w:type="dxa" w:w="163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bCs/>
                <w:sz w:val="20"/>
                <w:szCs w:val="20"/>
              </w:rPr>
              <w:t xml:space="preserve">AG-410</w:t>
            </w:r>
          </w:p>
        </w:tc>
        <w:tc>
          <w:tcPr>
            <w:tcW w:type="dxa" w:w="348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Inspect coupling guard integrity</w:t>
            </w:r>
          </w:p>
        </w:tc>
        <w:tc>
          <w:tcPr>
            <w:tcW w:type="dxa" w:w="101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Weekly</w:t>
            </w:r>
          </w:p>
        </w:tc>
        <w:tc>
          <w:tcPr>
            <w:tcW w:type="dxa" w:w="180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Guard intact, all fasteners secure</w:t>
            </w:r>
          </w:p>
        </w:tc>
        <w:tc>
          <w:tcPr>
            <w:tcW w:type="dxa" w:w="101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
            </w:r>
          </w:p>
        </w:tc>
        <w:tc>
          <w:tcPr>
            <w:tcW w:type="dxa" w:w="1016"/>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
            </w:r>
          </w:p>
        </w:tc>
      </w:tr>
      <w:tr>
        <w:tc>
          <w:tcPr>
            <w:tcW w:type="dxa" w:w="56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12</w:t>
            </w:r>
          </w:p>
        </w:tc>
        <w:tc>
          <w:tcPr>
            <w:tcW w:type="dxa" w:w="163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bCs/>
                <w:sz w:val="20"/>
                <w:szCs w:val="20"/>
              </w:rPr>
              <w:t xml:space="preserve">P-101A/B</w:t>
            </w:r>
          </w:p>
        </w:tc>
        <w:tc>
          <w:tcPr>
            <w:tcW w:type="dxa" w:w="348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Check motor winding temperature (RTD readout)</w:t>
            </w:r>
          </w:p>
        </w:tc>
        <w:tc>
          <w:tcPr>
            <w:tcW w:type="dxa" w:w="101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Weekly</w:t>
            </w:r>
          </w:p>
        </w:tc>
        <w:tc>
          <w:tcPr>
            <w:tcW w:type="dxa" w:w="180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 Class F limit (155°C)</w:t>
            </w:r>
          </w:p>
        </w:tc>
        <w:tc>
          <w:tcPr>
            <w:tcW w:type="dxa" w:w="101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
            </w:r>
          </w:p>
        </w:tc>
        <w:tc>
          <w:tcPr>
            <w:tcW w:type="dxa" w:w="1016"/>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
            </w:r>
          </w:p>
        </w:tc>
      </w:tr>
      <w:tr>
        <w:tc>
          <w:tcPr>
            <w:tcW w:type="dxa" w:w="56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13</w:t>
            </w:r>
          </w:p>
        </w:tc>
        <w:tc>
          <w:tcPr>
            <w:tcW w:type="dxa" w:w="163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bCs/>
                <w:sz w:val="20"/>
                <w:szCs w:val="20"/>
              </w:rPr>
              <w:t xml:space="preserve">C-201</w:t>
            </w:r>
          </w:p>
        </w:tc>
        <w:tc>
          <w:tcPr>
            <w:tcW w:type="dxa" w:w="348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Verify safety relief valve seal / tag intact</w:t>
            </w:r>
          </w:p>
        </w:tc>
        <w:tc>
          <w:tcPr>
            <w:tcW w:type="dxa" w:w="101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Weekly</w:t>
            </w:r>
          </w:p>
        </w:tc>
        <w:tc>
          <w:tcPr>
            <w:tcW w:type="dxa" w:w="180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Tamper seal unbroken, tag legible</w:t>
            </w:r>
          </w:p>
        </w:tc>
        <w:tc>
          <w:tcPr>
            <w:tcW w:type="dxa" w:w="1010"/>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
            </w:r>
          </w:p>
        </w:tc>
        <w:tc>
          <w:tcPr>
            <w:tcW w:type="dxa" w:w="1016"/>
            <w:tcBorders>
              <w:top w:val="single" w:color="B7C2CC" w:sz="2"/>
              <w:left w:val="single" w:color="B7C2CC" w:sz="2"/>
              <w:bottom w:val="single" w:color="B7C2CC" w:sz="2"/>
              <w:right w:val="single" w:color="B7C2CC" w:sz="2"/>
            </w:tcBorders>
            <w:tcMar>
              <w:top w:type="dxa" w:w="60"/>
              <w:left w:type="dxa" w:w="80"/>
              <w:bottom w:type="dxa" w:w="60"/>
              <w:right w:type="dxa" w:w="80"/>
            </w:tcMar>
            <w:vAlign w:val="center"/>
          </w:tcPr>
          <w:p>
            <w:r>
              <w:rPr>
                <w:b w:val="false"/>
                <w:bCs w:val="false"/>
                <w:sz w:val="20"/>
                <w:szCs w:val="20"/>
              </w:rPr>
              <w:t xml:space="preserve"/>
            </w:r>
          </w:p>
        </w:tc>
      </w:tr>
      <w:tr>
        <w:tc>
          <w:tcPr>
            <w:tcW w:type="dxa" w:w="56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14</w:t>
            </w:r>
          </w:p>
        </w:tc>
        <w:tc>
          <w:tcPr>
            <w:tcW w:type="dxa" w:w="163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bCs/>
                <w:sz w:val="20"/>
                <w:szCs w:val="20"/>
              </w:rPr>
              <w:t xml:space="preserve">B-305 / AG-410</w:t>
            </w:r>
          </w:p>
        </w:tc>
        <w:tc>
          <w:tcPr>
            <w:tcW w:type="dxa" w:w="348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General housekeeping - area free of oil spills</w:t>
            </w:r>
          </w:p>
        </w:tc>
        <w:tc>
          <w:tcPr>
            <w:tcW w:type="dxa" w:w="101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Weekly</w:t>
            </w:r>
          </w:p>
        </w:tc>
        <w:tc>
          <w:tcPr>
            <w:tcW w:type="dxa" w:w="180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No slip hazards, area clean</w:t>
            </w:r>
          </w:p>
        </w:tc>
        <w:tc>
          <w:tcPr>
            <w:tcW w:type="dxa" w:w="1010"/>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
            </w:r>
          </w:p>
        </w:tc>
        <w:tc>
          <w:tcPr>
            <w:tcW w:type="dxa" w:w="1016"/>
            <w:tcBorders>
              <w:top w:val="single" w:color="B7C2CC" w:sz="2"/>
              <w:left w:val="single" w:color="B7C2CC" w:sz="2"/>
              <w:bottom w:val="single" w:color="B7C2CC" w:sz="2"/>
              <w:right w:val="single" w:color="B7C2CC" w:sz="2"/>
            </w:tcBorders>
            <w:shd w:fill="EEF2F7" w:val="clear"/>
            <w:tcMar>
              <w:top w:type="dxa" w:w="60"/>
              <w:left w:type="dxa" w:w="80"/>
              <w:bottom w:type="dxa" w:w="60"/>
              <w:right w:type="dxa" w:w="80"/>
            </w:tcMar>
            <w:vAlign w:val="center"/>
          </w:tcPr>
          <w:p>
            <w:r>
              <w:rPr>
                <w:b w:val="false"/>
                <w:bCs w:val="false"/>
                <w:sz w:val="20"/>
                <w:szCs w:val="20"/>
              </w:rPr>
              <w:t xml:space="preserve"/>
            </w:r>
          </w:p>
        </w:tc>
      </w:tr>
    </w:tbl>
    <w:p>
      <w:pPr>
        <w:spacing w:after="160"/>
      </w:pPr>
    </w:p>
    <w:p>
      <w:pPr>
        <w:pStyle w:val="Heading1"/>
        <w:spacing w:after="140" w:before="260"/>
      </w:pPr>
      <w:r>
        <w:rPr>
          <w:b/>
          <w:bCs/>
          <w:color w:val="003366"/>
          <w:sz w:val="30"/>
          <w:szCs w:val="30"/>
        </w:rPr>
        <w:t xml:space="preserve">3. Instructions for Use</w:t>
      </w:r>
    </w:p>
    <w:p>
      <w:pPr>
        <w:pStyle w:val="ListParagraph"/>
        <w:numPr>
          <w:ilvl w:val="0"/>
          <w:numId w:val="1"/>
        </w:numPr>
        <w:spacing w:after="60"/>
      </w:pPr>
      <w:r>
        <w:rPr>
          <w:sz w:val="22"/>
          <w:szCs w:val="22"/>
        </w:rPr>
        <w:t xml:space="preserve">Enter P (Pass) or F (Fail) in the Status column for each task at every weekly round.</w:t>
      </w:r>
    </w:p>
    <w:p>
      <w:pPr>
        <w:pStyle w:val="ListParagraph"/>
        <w:numPr>
          <w:ilvl w:val="0"/>
          <w:numId w:val="1"/>
        </w:numPr>
        <w:spacing w:after="60"/>
      </w:pPr>
      <w:r>
        <w:rPr>
          <w:sz w:val="22"/>
          <w:szCs w:val="22"/>
        </w:rPr>
        <w:t xml:space="preserve">Any Fail entry must be accompanied by a Remarks note and a corresponding maintenance notification (MN) number.</w:t>
      </w:r>
    </w:p>
    <w:p>
      <w:pPr>
        <w:pStyle w:val="ListParagraph"/>
        <w:numPr>
          <w:ilvl w:val="0"/>
          <w:numId w:val="1"/>
        </w:numPr>
        <w:spacing w:after="60"/>
      </w:pPr>
      <w:r>
        <w:rPr>
          <w:sz w:val="22"/>
          <w:szCs w:val="22"/>
        </w:rPr>
        <w:t xml:space="preserve">Vibration readings above the ISO 10816-3 Zone B threshold shall be reported to the Predictive Maintenance group within 24 hours.</w:t>
      </w:r>
    </w:p>
    <w:p>
      <w:pPr>
        <w:pStyle w:val="ListParagraph"/>
        <w:numPr>
          <w:ilvl w:val="0"/>
          <w:numId w:val="1"/>
        </w:numPr>
        <w:spacing w:after="60"/>
      </w:pPr>
      <w:r>
        <w:rPr>
          <w:sz w:val="22"/>
          <w:szCs w:val="22"/>
        </w:rPr>
        <w:t xml:space="preserve">Completed checklists shall be scanned and uploaded to the FortTrace document management system within 2 working days of each round.</w:t>
      </w:r>
    </w:p>
    <w:p>
      <w:pPr>
        <w:pStyle w:val="Heading1"/>
        <w:spacing w:after="140" w:before="260"/>
      </w:pPr>
      <w:r>
        <w:rPr>
          <w:b/>
          <w:bCs/>
          <w:color w:val="003366"/>
          <w:sz w:val="30"/>
          <w:szCs w:val="30"/>
        </w:rPr>
        <w:t xml:space="preserve">4. Weekly Sign-Off Log (Q3 2026)</w:t>
      </w:r>
    </w:p>
    <w:tbl>
      <w:tblPr>
        <w:tblW w:type="dxa" w:w="10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5"/>
        <w:gridCol w:w="1572"/>
        <w:gridCol w:w="3144"/>
        <w:gridCol w:w="1684"/>
        <w:gridCol w:w="2981"/>
      </w:tblGrid>
      <w:tr>
        <w:trPr>
          <w:tblHeader/>
        </w:trPr>
        <w:tc>
          <w:tcPr>
            <w:tcW w:type="dxa" w:w="1125"/>
            <w:tcBorders>
              <w:top w:val="single" w:color="B7C2CC" w:sz="2"/>
              <w:left w:val="single" w:color="B7C2CC" w:sz="2"/>
              <w:bottom w:val="single" w:color="B7C2CC" w:sz="2"/>
              <w:right w:val="single" w:color="B7C2CC" w:sz="2"/>
            </w:tcBorders>
            <w:shd w:fill="003366" w:val="clear"/>
            <w:tcMar>
              <w:top w:type="dxa" w:w="50"/>
              <w:left w:type="dxa" w:w="60"/>
              <w:bottom w:type="dxa" w:w="50"/>
              <w:right w:type="dxa" w:w="60"/>
            </w:tcMar>
            <w:vAlign w:val="center"/>
          </w:tcPr>
          <w:p>
            <w:pPr>
              <w:jc w:val="center"/>
            </w:pPr>
            <w:r>
              <w:rPr>
                <w:b/>
                <w:bCs/>
                <w:color w:val="FFFFFF"/>
                <w:sz w:val="19"/>
                <w:szCs w:val="19"/>
              </w:rPr>
              <w:t xml:space="preserve">Wk</w:t>
            </w:r>
          </w:p>
        </w:tc>
        <w:tc>
          <w:tcPr>
            <w:tcW w:type="dxa" w:w="1572"/>
            <w:tcBorders>
              <w:top w:val="single" w:color="B7C2CC" w:sz="2"/>
              <w:left w:val="single" w:color="B7C2CC" w:sz="2"/>
              <w:bottom w:val="single" w:color="B7C2CC" w:sz="2"/>
              <w:right w:val="single" w:color="B7C2CC" w:sz="2"/>
            </w:tcBorders>
            <w:shd w:fill="003366" w:val="clear"/>
            <w:tcMar>
              <w:top w:type="dxa" w:w="50"/>
              <w:left w:type="dxa" w:w="60"/>
              <w:bottom w:type="dxa" w:w="50"/>
              <w:right w:type="dxa" w:w="60"/>
            </w:tcMar>
            <w:vAlign w:val="center"/>
          </w:tcPr>
          <w:p>
            <w:pPr>
              <w:jc w:val="center"/>
            </w:pPr>
            <w:r>
              <w:rPr>
                <w:b/>
                <w:bCs/>
                <w:color w:val="FFFFFF"/>
                <w:sz w:val="19"/>
                <w:szCs w:val="19"/>
              </w:rPr>
              <w:t xml:space="preserve">Date</w:t>
            </w:r>
          </w:p>
        </w:tc>
        <w:tc>
          <w:tcPr>
            <w:tcW w:type="dxa" w:w="3144"/>
            <w:tcBorders>
              <w:top w:val="single" w:color="B7C2CC" w:sz="2"/>
              <w:left w:val="single" w:color="B7C2CC" w:sz="2"/>
              <w:bottom w:val="single" w:color="B7C2CC" w:sz="2"/>
              <w:right w:val="single" w:color="B7C2CC" w:sz="2"/>
            </w:tcBorders>
            <w:shd w:fill="003366" w:val="clear"/>
            <w:tcMar>
              <w:top w:type="dxa" w:w="50"/>
              <w:left w:type="dxa" w:w="60"/>
              <w:bottom w:type="dxa" w:w="50"/>
              <w:right w:type="dxa" w:w="60"/>
            </w:tcMar>
            <w:vAlign w:val="center"/>
          </w:tcPr>
          <w:p>
            <w:pPr>
              <w:jc w:val="center"/>
            </w:pPr>
            <w:r>
              <w:rPr>
                <w:b/>
                <w:bCs/>
                <w:color w:val="FFFFFF"/>
                <w:sz w:val="19"/>
                <w:szCs w:val="19"/>
              </w:rPr>
              <w:t xml:space="preserve">Technician</w:t>
            </w:r>
          </w:p>
        </w:tc>
        <w:tc>
          <w:tcPr>
            <w:tcW w:type="dxa" w:w="1684"/>
            <w:tcBorders>
              <w:top w:val="single" w:color="B7C2CC" w:sz="2"/>
              <w:left w:val="single" w:color="B7C2CC" w:sz="2"/>
              <w:bottom w:val="single" w:color="B7C2CC" w:sz="2"/>
              <w:right w:val="single" w:color="B7C2CC" w:sz="2"/>
            </w:tcBorders>
            <w:shd w:fill="003366" w:val="clear"/>
            <w:tcMar>
              <w:top w:type="dxa" w:w="50"/>
              <w:left w:type="dxa" w:w="60"/>
              <w:bottom w:type="dxa" w:w="50"/>
              <w:right w:type="dxa" w:w="60"/>
            </w:tcMar>
            <w:vAlign w:val="center"/>
          </w:tcPr>
          <w:p>
            <w:pPr>
              <w:jc w:val="center"/>
            </w:pPr>
            <w:r>
              <w:rPr>
                <w:b/>
                <w:bCs/>
                <w:color w:val="FFFFFF"/>
                <w:sz w:val="19"/>
                <w:szCs w:val="19"/>
              </w:rPr>
              <w:t xml:space="preserve">Shift</w:t>
            </w:r>
          </w:p>
        </w:tc>
        <w:tc>
          <w:tcPr>
            <w:tcW w:type="dxa" w:w="2981"/>
            <w:tcBorders>
              <w:top w:val="single" w:color="B7C2CC" w:sz="2"/>
              <w:left w:val="single" w:color="B7C2CC" w:sz="2"/>
              <w:bottom w:val="single" w:color="B7C2CC" w:sz="2"/>
              <w:right w:val="single" w:color="B7C2CC" w:sz="2"/>
            </w:tcBorders>
            <w:shd w:fill="003366" w:val="clear"/>
            <w:tcMar>
              <w:top w:type="dxa" w:w="50"/>
              <w:left w:type="dxa" w:w="60"/>
              <w:bottom w:type="dxa" w:w="50"/>
              <w:right w:type="dxa" w:w="60"/>
            </w:tcMar>
            <w:vAlign w:val="center"/>
          </w:tcPr>
          <w:p>
            <w:pPr>
              <w:jc w:val="center"/>
            </w:pPr>
            <w:r>
              <w:rPr>
                <w:b/>
                <w:bCs/>
                <w:color w:val="FFFFFF"/>
                <w:sz w:val="19"/>
                <w:szCs w:val="19"/>
              </w:rPr>
              <w:t xml:space="preserve">Shift In-Charge Sign-Off</w:t>
            </w:r>
          </w:p>
        </w:tc>
      </w:tr>
      <w:tr>
        <w:tc>
          <w:tcPr>
            <w:tcW w:type="dxa" w:w="1125"/>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1</w:t>
            </w:r>
          </w:p>
        </w:tc>
        <w:tc>
          <w:tcPr>
            <w:tcW w:type="dxa" w:w="1572"/>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06-Jul-2026</w:t>
            </w:r>
          </w:p>
        </w:tc>
        <w:tc>
          <w:tcPr>
            <w:tcW w:type="dxa" w:w="3144"/>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
            </w:r>
          </w:p>
        </w:tc>
        <w:tc>
          <w:tcPr>
            <w:tcW w:type="dxa" w:w="1684"/>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
            </w:r>
          </w:p>
        </w:tc>
        <w:tc>
          <w:tcPr>
            <w:tcW w:type="dxa" w:w="2981"/>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
            </w:r>
          </w:p>
        </w:tc>
      </w:tr>
      <w:tr>
        <w:tc>
          <w:tcPr>
            <w:tcW w:type="dxa" w:w="1125"/>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2</w:t>
            </w:r>
          </w:p>
        </w:tc>
        <w:tc>
          <w:tcPr>
            <w:tcW w:type="dxa" w:w="1572"/>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13-Jul-2026</w:t>
            </w:r>
          </w:p>
        </w:tc>
        <w:tc>
          <w:tcPr>
            <w:tcW w:type="dxa" w:w="3144"/>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
            </w:r>
          </w:p>
        </w:tc>
        <w:tc>
          <w:tcPr>
            <w:tcW w:type="dxa" w:w="1684"/>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
            </w:r>
          </w:p>
        </w:tc>
        <w:tc>
          <w:tcPr>
            <w:tcW w:type="dxa" w:w="2981"/>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
            </w:r>
          </w:p>
        </w:tc>
      </w:tr>
      <w:tr>
        <w:tc>
          <w:tcPr>
            <w:tcW w:type="dxa" w:w="1125"/>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3</w:t>
            </w:r>
          </w:p>
        </w:tc>
        <w:tc>
          <w:tcPr>
            <w:tcW w:type="dxa" w:w="1572"/>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20-Jul-2026</w:t>
            </w:r>
          </w:p>
        </w:tc>
        <w:tc>
          <w:tcPr>
            <w:tcW w:type="dxa" w:w="3144"/>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
            </w:r>
          </w:p>
        </w:tc>
        <w:tc>
          <w:tcPr>
            <w:tcW w:type="dxa" w:w="1684"/>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
            </w:r>
          </w:p>
        </w:tc>
        <w:tc>
          <w:tcPr>
            <w:tcW w:type="dxa" w:w="2981"/>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
            </w:r>
          </w:p>
        </w:tc>
      </w:tr>
      <w:tr>
        <w:tc>
          <w:tcPr>
            <w:tcW w:type="dxa" w:w="1125"/>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4</w:t>
            </w:r>
          </w:p>
        </w:tc>
        <w:tc>
          <w:tcPr>
            <w:tcW w:type="dxa" w:w="1572"/>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27-Jul-2026</w:t>
            </w:r>
          </w:p>
        </w:tc>
        <w:tc>
          <w:tcPr>
            <w:tcW w:type="dxa" w:w="3144"/>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
            </w:r>
          </w:p>
        </w:tc>
        <w:tc>
          <w:tcPr>
            <w:tcW w:type="dxa" w:w="1684"/>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
            </w:r>
          </w:p>
        </w:tc>
        <w:tc>
          <w:tcPr>
            <w:tcW w:type="dxa" w:w="2981"/>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
            </w:r>
          </w:p>
        </w:tc>
      </w:tr>
      <w:tr>
        <w:tc>
          <w:tcPr>
            <w:tcW w:type="dxa" w:w="1125"/>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5</w:t>
            </w:r>
          </w:p>
        </w:tc>
        <w:tc>
          <w:tcPr>
            <w:tcW w:type="dxa" w:w="1572"/>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03-Aug-2026</w:t>
            </w:r>
          </w:p>
        </w:tc>
        <w:tc>
          <w:tcPr>
            <w:tcW w:type="dxa" w:w="3144"/>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
            </w:r>
          </w:p>
        </w:tc>
        <w:tc>
          <w:tcPr>
            <w:tcW w:type="dxa" w:w="1684"/>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
            </w:r>
          </w:p>
        </w:tc>
        <w:tc>
          <w:tcPr>
            <w:tcW w:type="dxa" w:w="2981"/>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
            </w:r>
          </w:p>
        </w:tc>
      </w:tr>
      <w:tr>
        <w:tc>
          <w:tcPr>
            <w:tcW w:type="dxa" w:w="1125"/>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6</w:t>
            </w:r>
          </w:p>
        </w:tc>
        <w:tc>
          <w:tcPr>
            <w:tcW w:type="dxa" w:w="1572"/>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10-Aug-2026</w:t>
            </w:r>
          </w:p>
        </w:tc>
        <w:tc>
          <w:tcPr>
            <w:tcW w:type="dxa" w:w="3144"/>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
            </w:r>
          </w:p>
        </w:tc>
        <w:tc>
          <w:tcPr>
            <w:tcW w:type="dxa" w:w="1684"/>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
            </w:r>
          </w:p>
        </w:tc>
        <w:tc>
          <w:tcPr>
            <w:tcW w:type="dxa" w:w="2981"/>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
            </w:r>
          </w:p>
        </w:tc>
      </w:tr>
      <w:tr>
        <w:tc>
          <w:tcPr>
            <w:tcW w:type="dxa" w:w="1125"/>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7</w:t>
            </w:r>
          </w:p>
        </w:tc>
        <w:tc>
          <w:tcPr>
            <w:tcW w:type="dxa" w:w="1572"/>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17-Aug-2026</w:t>
            </w:r>
          </w:p>
        </w:tc>
        <w:tc>
          <w:tcPr>
            <w:tcW w:type="dxa" w:w="3144"/>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
            </w:r>
          </w:p>
        </w:tc>
        <w:tc>
          <w:tcPr>
            <w:tcW w:type="dxa" w:w="1684"/>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
            </w:r>
          </w:p>
        </w:tc>
        <w:tc>
          <w:tcPr>
            <w:tcW w:type="dxa" w:w="2981"/>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
            </w:r>
          </w:p>
        </w:tc>
      </w:tr>
      <w:tr>
        <w:tc>
          <w:tcPr>
            <w:tcW w:type="dxa" w:w="1125"/>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8</w:t>
            </w:r>
          </w:p>
        </w:tc>
        <w:tc>
          <w:tcPr>
            <w:tcW w:type="dxa" w:w="1572"/>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24-Aug-2026</w:t>
            </w:r>
          </w:p>
        </w:tc>
        <w:tc>
          <w:tcPr>
            <w:tcW w:type="dxa" w:w="3144"/>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
            </w:r>
          </w:p>
        </w:tc>
        <w:tc>
          <w:tcPr>
            <w:tcW w:type="dxa" w:w="1684"/>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
            </w:r>
          </w:p>
        </w:tc>
        <w:tc>
          <w:tcPr>
            <w:tcW w:type="dxa" w:w="2981"/>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
            </w:r>
          </w:p>
        </w:tc>
      </w:tr>
      <w:tr>
        <w:tc>
          <w:tcPr>
            <w:tcW w:type="dxa" w:w="1125"/>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9</w:t>
            </w:r>
          </w:p>
        </w:tc>
        <w:tc>
          <w:tcPr>
            <w:tcW w:type="dxa" w:w="1572"/>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31-Aug-2026</w:t>
            </w:r>
          </w:p>
        </w:tc>
        <w:tc>
          <w:tcPr>
            <w:tcW w:type="dxa" w:w="3144"/>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
            </w:r>
          </w:p>
        </w:tc>
        <w:tc>
          <w:tcPr>
            <w:tcW w:type="dxa" w:w="1684"/>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
            </w:r>
          </w:p>
        </w:tc>
        <w:tc>
          <w:tcPr>
            <w:tcW w:type="dxa" w:w="2981"/>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
            </w:r>
          </w:p>
        </w:tc>
      </w:tr>
      <w:tr>
        <w:tc>
          <w:tcPr>
            <w:tcW w:type="dxa" w:w="1125"/>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10</w:t>
            </w:r>
          </w:p>
        </w:tc>
        <w:tc>
          <w:tcPr>
            <w:tcW w:type="dxa" w:w="1572"/>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07-Sep-2026</w:t>
            </w:r>
          </w:p>
        </w:tc>
        <w:tc>
          <w:tcPr>
            <w:tcW w:type="dxa" w:w="3144"/>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
            </w:r>
          </w:p>
        </w:tc>
        <w:tc>
          <w:tcPr>
            <w:tcW w:type="dxa" w:w="1684"/>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
            </w:r>
          </w:p>
        </w:tc>
        <w:tc>
          <w:tcPr>
            <w:tcW w:type="dxa" w:w="2981"/>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
            </w:r>
          </w:p>
        </w:tc>
      </w:tr>
      <w:tr>
        <w:tc>
          <w:tcPr>
            <w:tcW w:type="dxa" w:w="1125"/>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11</w:t>
            </w:r>
          </w:p>
        </w:tc>
        <w:tc>
          <w:tcPr>
            <w:tcW w:type="dxa" w:w="1572"/>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14-Sep-2026</w:t>
            </w:r>
          </w:p>
        </w:tc>
        <w:tc>
          <w:tcPr>
            <w:tcW w:type="dxa" w:w="3144"/>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
            </w:r>
          </w:p>
        </w:tc>
        <w:tc>
          <w:tcPr>
            <w:tcW w:type="dxa" w:w="1684"/>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
            </w:r>
          </w:p>
        </w:tc>
        <w:tc>
          <w:tcPr>
            <w:tcW w:type="dxa" w:w="2981"/>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
            </w:r>
          </w:p>
        </w:tc>
      </w:tr>
      <w:tr>
        <w:tc>
          <w:tcPr>
            <w:tcW w:type="dxa" w:w="1125"/>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12</w:t>
            </w:r>
          </w:p>
        </w:tc>
        <w:tc>
          <w:tcPr>
            <w:tcW w:type="dxa" w:w="1572"/>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21-Sep-2026</w:t>
            </w:r>
          </w:p>
        </w:tc>
        <w:tc>
          <w:tcPr>
            <w:tcW w:type="dxa" w:w="3144"/>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
            </w:r>
          </w:p>
        </w:tc>
        <w:tc>
          <w:tcPr>
            <w:tcW w:type="dxa" w:w="1684"/>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
            </w:r>
          </w:p>
        </w:tc>
        <w:tc>
          <w:tcPr>
            <w:tcW w:type="dxa" w:w="2981"/>
            <w:tcBorders>
              <w:top w:val="single" w:color="B7C2CC" w:sz="2"/>
              <w:left w:val="single" w:color="B7C2CC" w:sz="2"/>
              <w:bottom w:val="single" w:color="B7C2CC" w:sz="2"/>
              <w:right w:val="single" w:color="B7C2CC" w:sz="2"/>
            </w:tcBorders>
            <w:shd w:fill="EEF2F7" w:val="clear"/>
            <w:tcMar>
              <w:top w:type="dxa" w:w="50"/>
              <w:left w:type="dxa" w:w="60"/>
              <w:bottom w:type="dxa" w:w="50"/>
              <w:right w:type="dxa" w:w="60"/>
            </w:tcMar>
            <w:vAlign w:val="center"/>
          </w:tcPr>
          <w:p>
            <w:pPr>
              <w:jc w:val="center"/>
            </w:pPr>
            <w:r>
              <w:rPr>
                <w:sz w:val="23"/>
                <w:szCs w:val="23"/>
              </w:rPr>
              <w:t xml:space="preserve"/>
            </w:r>
          </w:p>
        </w:tc>
      </w:tr>
      <w:tr>
        <w:tc>
          <w:tcPr>
            <w:tcW w:type="dxa" w:w="1125"/>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13</w:t>
            </w:r>
          </w:p>
        </w:tc>
        <w:tc>
          <w:tcPr>
            <w:tcW w:type="dxa" w:w="1572"/>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28-Sep-2026</w:t>
            </w:r>
          </w:p>
        </w:tc>
        <w:tc>
          <w:tcPr>
            <w:tcW w:type="dxa" w:w="3144"/>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
            </w:r>
          </w:p>
        </w:tc>
        <w:tc>
          <w:tcPr>
            <w:tcW w:type="dxa" w:w="1684"/>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
            </w:r>
          </w:p>
        </w:tc>
        <w:tc>
          <w:tcPr>
            <w:tcW w:type="dxa" w:w="2981"/>
            <w:tcBorders>
              <w:top w:val="single" w:color="B7C2CC" w:sz="2"/>
              <w:left w:val="single" w:color="B7C2CC" w:sz="2"/>
              <w:bottom w:val="single" w:color="B7C2CC" w:sz="2"/>
              <w:right w:val="single" w:color="B7C2CC" w:sz="2"/>
            </w:tcBorders>
            <w:tcMar>
              <w:top w:type="dxa" w:w="50"/>
              <w:left w:type="dxa" w:w="60"/>
              <w:bottom w:type="dxa" w:w="50"/>
              <w:right w:type="dxa" w:w="60"/>
            </w:tcMar>
            <w:vAlign w:val="center"/>
          </w:tcPr>
          <w:p>
            <w:pPr>
              <w:jc w:val="center"/>
            </w:pPr>
            <w:r>
              <w:rPr>
                <w:sz w:val="23"/>
                <w:szCs w:val="23"/>
              </w:rPr>
              <w:t xml:space="preserve"/>
            </w:r>
          </w:p>
        </w:tc>
      </w:tr>
    </w:tbl>
    <w:sectPr>
      <w:headerReference w:type="default" r:id="rId7"/>
      <w:footerReference w:type="default" r:id="rId8"/>
      <w:pgSz w:w="11906" w:h="16838" w:orient="portrait"/>
      <w:pgMar w:top="900" w:right="700" w:bottom="9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tabs>
        <w:tab w:val="right" w:pos="11206"/>
      </w:tabs>
    </w:pPr>
    <w:r>
      <w:rPr>
        <w:color w:val="666666"/>
        <w:sz w:val="16"/>
        <w:szCs w:val="16"/>
      </w:rPr>
      <w:t xml:space="preserve">CONTROLLED DOCUMENT - Uncontrolled if printed. Verify revision on FortTrace DMS prior to use.</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6" w:space="4"/>
      </w:pBdr>
      <w:tabs>
        <w:tab w:val="right" w:pos="11206"/>
      </w:tabs>
    </w:pPr>
    <w:r>
      <w:rPr>
        <w:b/>
        <w:bCs/>
        <w:color w:val="003366"/>
        <w:sz w:val="20"/>
        <w:szCs w:val="20"/>
      </w:rPr>
      <w:t xml:space="preserve">FORTTRACE PLANT OPERATIONS</w:t>
    </w:r>
    <w:r>
      <w:rPr>
        <w:color w:val="444444"/>
        <w:sz w:val="17"/>
        <w:szCs w:val="17"/>
      </w:rPr>
      <w:t xml:space="preserve">	FTP-OPS-CHK-031  |  Rev: 3.2  |  Dept: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2026-07-15T01:45:42.969Z</dcterms:created>
  <dcterms:modified xsi:type="dcterms:W3CDTF">2026-07-15T01:45:42.981Z</dcterms:modified>
</cp:coreProperties>
</file>

<file path=docProps/custom.xml><?xml version="1.0" encoding="utf-8"?>
<Properties xmlns="http://schemas.openxmlformats.org/officeDocument/2006/custom-properties" xmlns:vt="http://schemas.openxmlformats.org/officeDocument/2006/docPropsVTypes"/>
</file>