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42881" w14:textId="77777777" w:rsidR="006F12E3" w:rsidRDefault="00DC2113">
      <w:pPr>
        <w:spacing w:after="60"/>
        <w:jc w:val="center"/>
      </w:pPr>
      <w:r>
        <w:rPr>
          <w:b/>
          <w:bCs/>
          <w:sz w:val="32"/>
          <w:szCs w:val="32"/>
        </w:rPr>
        <w:t>SIMATS ENGINEERING</w:t>
      </w:r>
    </w:p>
    <w:p w14:paraId="6C22BECB" w14:textId="77777777" w:rsidR="006F12E3" w:rsidRDefault="00DC2113">
      <w:pPr>
        <w:spacing w:after="60"/>
        <w:jc w:val="center"/>
      </w:pPr>
      <w:r>
        <w:rPr>
          <w:b/>
          <w:bCs/>
          <w:sz w:val="26"/>
          <w:szCs w:val="26"/>
        </w:rPr>
        <w:t>ASSESSMENT TOOL 1: Analytical Problem Solving</w:t>
      </w:r>
    </w:p>
    <w:p w14:paraId="0BFE5B19" w14:textId="5379B2A8" w:rsidR="006F12E3" w:rsidRPr="00FE6240" w:rsidRDefault="00DC2113">
      <w:pPr>
        <w:spacing w:after="200"/>
        <w:jc w:val="center"/>
        <w:rPr>
          <w:rFonts w:ascii="Times New Roman" w:hAnsi="Times New Roman" w:cs="Times New Roman"/>
        </w:rPr>
      </w:pPr>
      <w:r w:rsidRPr="00FE6240">
        <w:rPr>
          <w:rFonts w:ascii="Times New Roman" w:hAnsi="Times New Roman" w:cs="Times New Roman"/>
        </w:rPr>
        <w:t>Course: Cloud Computing and Big Data Analytics (CSA15</w:t>
      </w:r>
      <w:r w:rsidR="00FE6240">
        <w:rPr>
          <w:rFonts w:ascii="Times New Roman" w:hAnsi="Times New Roman" w:cs="Times New Roman"/>
        </w:rPr>
        <w:t>14</w:t>
      </w:r>
      <w:r w:rsidRPr="00FE6240">
        <w:rPr>
          <w:rFonts w:ascii="Times New Roman" w:hAnsi="Times New Roman" w:cs="Times New Roman"/>
        </w:rPr>
        <w:t>)  |  CO2 (BL3)  |  Total Marks: 50</w:t>
      </w:r>
    </w:p>
    <w:p w14:paraId="37F9908B" w14:textId="33C598B1"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 xml:space="preserve">Name / Reg No: </w:t>
      </w:r>
      <w:r w:rsidR="0045150A">
        <w:rPr>
          <w:rFonts w:ascii="Times New Roman" w:hAnsi="Times New Roman" w:cs="Times New Roman"/>
          <w:sz w:val="24"/>
          <w:szCs w:val="24"/>
        </w:rPr>
        <w:t>PINDIBOINA SAI DEEAPAK</w:t>
      </w:r>
      <w:r w:rsidR="00FE6240" w:rsidRPr="00FE6240">
        <w:rPr>
          <w:rFonts w:ascii="Times New Roman" w:hAnsi="Times New Roman" w:cs="Times New Roman"/>
          <w:sz w:val="24"/>
          <w:szCs w:val="24"/>
        </w:rPr>
        <w:t>(192</w:t>
      </w:r>
      <w:r w:rsidR="0045150A">
        <w:rPr>
          <w:rFonts w:ascii="Times New Roman" w:hAnsi="Times New Roman" w:cs="Times New Roman"/>
          <w:sz w:val="24"/>
          <w:szCs w:val="24"/>
        </w:rPr>
        <w:t>411047</w:t>
      </w:r>
      <w:r w:rsidR="00FE6240" w:rsidRPr="00FE6240">
        <w:rPr>
          <w:rFonts w:ascii="Times New Roman" w:hAnsi="Times New Roman" w:cs="Times New Roman"/>
          <w:sz w:val="24"/>
          <w:szCs w:val="24"/>
        </w:rPr>
        <w:t>)</w:t>
      </w:r>
      <w:r w:rsidRPr="00FE6240">
        <w:rPr>
          <w:rFonts w:ascii="Times New Roman" w:hAnsi="Times New Roman" w:cs="Times New Roman"/>
          <w:sz w:val="24"/>
          <w:szCs w:val="24"/>
        </w:rPr>
        <w:t xml:space="preserve">        Signature: </w:t>
      </w:r>
      <w:r w:rsidR="00FE6240" w:rsidRPr="00FE6240">
        <w:rPr>
          <w:rFonts w:ascii="Times New Roman" w:hAnsi="Times New Roman" w:cs="Times New Roman"/>
          <w:sz w:val="24"/>
          <w:szCs w:val="24"/>
        </w:rPr>
        <w:t xml:space="preserve"> </w:t>
      </w:r>
      <w:r w:rsidR="0045150A">
        <w:rPr>
          <w:rFonts w:ascii="Times New Roman" w:hAnsi="Times New Roman" w:cs="Times New Roman"/>
          <w:sz w:val="24"/>
          <w:szCs w:val="24"/>
        </w:rPr>
        <w:t>sai deepak</w:t>
      </w:r>
    </w:p>
    <w:p w14:paraId="7C2B02C1"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i/>
          <w:iCs/>
          <w:sz w:val="24"/>
          <w:szCs w:val="24"/>
        </w:rPr>
        <w:t>I certify that this submission is my original work and that I have adhered to the guidelines specified for this assessment.</w:t>
      </w:r>
    </w:p>
    <w:p w14:paraId="19159349" w14:textId="77777777"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t>Question 1: Type-1 vs Type-2 Hypervisors</w:t>
      </w:r>
    </w:p>
    <w:p w14:paraId="6BC02405"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Problem interpretation: A datacenter hosting mission-critical applications needs high performance, strong isolation, high availability and centralised management. The hypervisor type must be chosen on those criteria.</w:t>
      </w:r>
    </w:p>
    <w:p w14:paraId="4532BF1D"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6F12E3" w:rsidRPr="00FE6240" w14:paraId="53F6B1D4"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6DA9992"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Aspect</w:t>
            </w:r>
          </w:p>
        </w:tc>
        <w:tc>
          <w:tcPr>
            <w:tcW w:w="38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B424E4E"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Type-1 (Bare-metal)</w:t>
            </w:r>
          </w:p>
        </w:tc>
        <w:tc>
          <w:tcPr>
            <w:tcW w:w="38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9C2DF20"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Type-2 (Hosted)</w:t>
            </w:r>
          </w:p>
        </w:tc>
      </w:tr>
      <w:tr w:rsidR="006F12E3" w:rsidRPr="00FE6240" w14:paraId="1964E1FA"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10FEBD"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Architecture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0961A4"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Runs directly on hardware (e.g., VMware ESXi, Microsoft Hyper-V, KVM, Xen).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3A74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Runs as an application on a host OS (e.g., VMware Workstation, VirtualBox).</w:t>
            </w:r>
          </w:p>
        </w:tc>
      </w:tr>
      <w:tr w:rsidR="006F12E3" w:rsidRPr="00FE6240" w14:paraId="3A0A53FE"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3DFA7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Performance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BEFF2D"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Direct access to CPU, memory, NIC and storage; minimal overhead; supports hardware-assisted virtualization, SR-IOV, NUMA awareness.</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C50278E"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Every I/O call passes through host OS and its drivers; extra scheduling layer causes higher latency and jitter; host OS tasks compete for resources.</w:t>
            </w:r>
          </w:p>
        </w:tc>
      </w:tr>
      <w:tr w:rsidR="006F12E3" w:rsidRPr="00FE6240" w14:paraId="411186F4"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45163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Security</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71CE6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Small attack surface (thin, purpose-built kernel); no general-purpose OS services; strong VM isolation.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08863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Large attack surface: host OS vulnerabilities, other host applications and malware can compromise all VMs.</w:t>
            </w:r>
          </w:p>
        </w:tc>
      </w:tr>
      <w:tr w:rsidR="006F12E3" w:rsidRPr="00FE6240" w14:paraId="008C768F"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3277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Manageability</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BDDE7D"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Centralised management (vCenter, SCVMM, OpenStack); live migration, HA, DRS, clustering, templates, automation APIs.</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0D4E9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Managed per machine; no native clustering, live migration or HA; manual patching of host OS plus hypervisor.</w:t>
            </w:r>
          </w:p>
        </w:tc>
      </w:tr>
      <w:tr w:rsidR="006F12E3" w:rsidRPr="00FE6240" w14:paraId="36677944"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7AD09E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Reliability</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62382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Fewer layers means fewer failure points; designed for 24x7 operation.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1186A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Host OS crash or reboot or update takes all VMs down.</w:t>
            </w:r>
          </w:p>
        </w:tc>
      </w:tr>
      <w:tr w:rsidR="006F12E3" w:rsidRPr="00FE6240" w14:paraId="5DB14B9E"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AA3F78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Typical use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5BB702"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Production datacenters, cloud providers.</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888DB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Development, testing, training, desktops.</w:t>
            </w:r>
          </w:p>
        </w:tc>
      </w:tr>
    </w:tbl>
    <w:p w14:paraId="75AED7B1"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Analysis and Justification</w:t>
      </w:r>
    </w:p>
    <w:p w14:paraId="4F95A5B3"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Mission-critical workloads cannot tolerate the extra latency, shared-fate failures and larger attack surface of a hosted design. Type-1 removes the intermediate OS layer, which gives near-native performance and predictable resource scheduling. Its minimal code base lowers the number of exploitable vulnerabilities, and features such as live migration, high availability, fault tolerance and automated resource scheduling are essential for meeting uptime SLAs.</w:t>
      </w:r>
    </w:p>
    <w:p w14:paraId="3B029C5E"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b/>
          <w:bCs/>
          <w:sz w:val="24"/>
          <w:szCs w:val="24"/>
        </w:rPr>
        <w:t xml:space="preserve">Conclusion: </w:t>
      </w:r>
      <w:r w:rsidRPr="00FE6240">
        <w:rPr>
          <w:rFonts w:ascii="Times New Roman" w:hAnsi="Times New Roman" w:cs="Times New Roman"/>
          <w:sz w:val="24"/>
          <w:szCs w:val="24"/>
        </w:rPr>
        <w:t>Type-1 hypervisor is the better choice for a cloud datacenter hosting mission-critical applications. Type-2 is acceptable only for development/test and demonstration (as in this lab using VMware Workstation Pro).</w:t>
      </w:r>
    </w:p>
    <w:p w14:paraId="3C5638C8" w14:textId="52BC7B7D" w:rsidR="0045150A" w:rsidRPr="00FE6240" w:rsidRDefault="0045150A">
      <w:pPr>
        <w:spacing w:after="200"/>
        <w:jc w:val="center"/>
        <w:rPr>
          <w:rFonts w:ascii="Times New Roman" w:hAnsi="Times New Roman" w:cs="Times New Roman"/>
          <w:sz w:val="24"/>
          <w:szCs w:val="24"/>
        </w:rPr>
      </w:pPr>
      <w:r>
        <w:rPr>
          <w:noProof/>
        </w:rPr>
        <w:lastRenderedPageBreak/>
        <w:drawing>
          <wp:inline distT="0" distB="0" distL="0" distR="0" wp14:anchorId="0F997E64" wp14:editId="59678175">
            <wp:extent cx="5943600" cy="3395345"/>
            <wp:effectExtent l="0" t="0" r="0" b="0"/>
            <wp:docPr id="81357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395345"/>
                    </a:xfrm>
                    <a:prstGeom prst="rect">
                      <a:avLst/>
                    </a:prstGeom>
                    <a:noFill/>
                    <a:ln>
                      <a:noFill/>
                    </a:ln>
                  </pic:spPr>
                </pic:pic>
              </a:graphicData>
            </a:graphic>
          </wp:inline>
        </w:drawing>
      </w:r>
    </w:p>
    <w:p w14:paraId="60A79DBC" w14:textId="0C615AF6" w:rsidR="00FE6240" w:rsidRPr="0045150A" w:rsidRDefault="0045150A" w:rsidP="0045150A">
      <w:pPr>
        <w:spacing w:after="200"/>
        <w:jc w:val="center"/>
        <w:rPr>
          <w:rFonts w:ascii="Times New Roman" w:hAnsi="Times New Roman" w:cs="Times New Roman"/>
          <w:i/>
          <w:iCs/>
        </w:rPr>
      </w:pPr>
      <w:r w:rsidRPr="00FE6240">
        <w:rPr>
          <w:rFonts w:ascii="Times New Roman" w:hAnsi="Times New Roman" w:cs="Times New Roman"/>
          <w:i/>
          <w:iCs/>
        </w:rPr>
        <w:t>Figure 1: Library pane in VMware Workstation Pro showing multiple VMs (analogous to multiple instances/regions).</w:t>
      </w:r>
    </w:p>
    <w:p w14:paraId="4C937CF5" w14:textId="13DB570F"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t>Question 2: Workload Isolation (Finance, Healthcare, Student Portals)</w:t>
      </w:r>
    </w:p>
    <w:p w14:paraId="512D8F6E"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Problem interpretation: Three tenants with different sensitivity levels (financial data, protected health data, student records) share the same physical host. The provider must prevent data leakage and interference between them.</w:t>
      </w:r>
    </w:p>
    <w:p w14:paraId="5BE4534A"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How virtualization architecture supports isolation</w:t>
      </w:r>
    </w:p>
    <w:p w14:paraId="615C200A"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Hardware-level isolation:</w:t>
      </w:r>
      <w:r w:rsidRPr="00FE6240">
        <w:rPr>
          <w:rFonts w:ascii="Times New Roman" w:hAnsi="Times New Roman" w:cs="Times New Roman"/>
          <w:sz w:val="24"/>
          <w:szCs w:val="24"/>
        </w:rPr>
        <w:t xml:space="preserve"> The hypervisor gives each VM its own virtual CPU, memory, virtual disk and vNIC. Memory management (shadow page tables / EPT / NPT) prevents one VM from reading another VM's memory.</w:t>
      </w:r>
    </w:p>
    <w:p w14:paraId="2645F78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Fault and security isolation:</w:t>
      </w:r>
      <w:r w:rsidRPr="00FE6240">
        <w:rPr>
          <w:rFonts w:ascii="Times New Roman" w:hAnsi="Times New Roman" w:cs="Times New Roman"/>
          <w:sz w:val="24"/>
          <w:szCs w:val="24"/>
        </w:rPr>
        <w:t xml:space="preserve"> Each workload runs in a separate VM with its own guest OS, so a compromise or crash in one guest does not directly affect others.</w:t>
      </w:r>
    </w:p>
    <w:p w14:paraId="6535ABFD"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Network isolation:</w:t>
      </w:r>
      <w:r w:rsidRPr="00FE6240">
        <w:rPr>
          <w:rFonts w:ascii="Times New Roman" w:hAnsi="Times New Roman" w:cs="Times New Roman"/>
          <w:sz w:val="24"/>
          <w:szCs w:val="24"/>
        </w:rPr>
        <w:t xml:space="preserve"> Separate VLANs / virtual switches / port groups and virtual firewalls (micro-segmentation) keep finance, healthcare and student traffic apart.</w:t>
      </w:r>
    </w:p>
    <w:p w14:paraId="571400B8"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Storage isolation:</w:t>
      </w:r>
      <w:r w:rsidRPr="00FE6240">
        <w:rPr>
          <w:rFonts w:ascii="Times New Roman" w:hAnsi="Times New Roman" w:cs="Times New Roman"/>
          <w:sz w:val="24"/>
          <w:szCs w:val="24"/>
        </w:rPr>
        <w:t xml:space="preserve"> Separate datastores/LUNs or encrypted virtual disks per tenant, with access control, protect data at rest.</w:t>
      </w:r>
    </w:p>
    <w:p w14:paraId="356C7DB1"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Resource isolation:</w:t>
      </w:r>
      <w:r w:rsidRPr="00FE6240">
        <w:rPr>
          <w:rFonts w:ascii="Times New Roman" w:hAnsi="Times New Roman" w:cs="Times New Roman"/>
          <w:sz w:val="24"/>
          <w:szCs w:val="24"/>
        </w:rPr>
        <w:t xml:space="preserve"> CPU/memory reservations, limits and shares stop a noisy VM from starving others (resource isolation).</w:t>
      </w:r>
    </w:p>
    <w:p w14:paraId="1E1EC9E4"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Policy-based placement:</w:t>
      </w:r>
      <w:r w:rsidRPr="00FE6240">
        <w:rPr>
          <w:rFonts w:ascii="Times New Roman" w:hAnsi="Times New Roman" w:cs="Times New Roman"/>
          <w:sz w:val="24"/>
          <w:szCs w:val="24"/>
        </w:rPr>
        <w:t xml:space="preserve"> Dedicated hosts or clusters, affinity/anti-affinity rules and VM encryption can be applied for regulated workloads such as healthcare (HIPAA) and finance (PCI-DSS).</w:t>
      </w:r>
    </w:p>
    <w:p w14:paraId="1E33FA76"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Two major attack surfaces</w:t>
      </w:r>
    </w:p>
    <w:p w14:paraId="4B1C310C"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b/>
          <w:bCs/>
          <w:sz w:val="24"/>
          <w:szCs w:val="24"/>
        </w:rPr>
        <w:t xml:space="preserve">1. The hypervisor itself (VM escape / hypervisor compromise). </w:t>
      </w:r>
      <w:r w:rsidRPr="00FE6240">
        <w:rPr>
          <w:rFonts w:ascii="Times New Roman" w:hAnsi="Times New Roman" w:cs="Times New Roman"/>
          <w:sz w:val="24"/>
          <w:szCs w:val="24"/>
        </w:rPr>
        <w:t xml:space="preserve">A vulnerability in the hypervisor, emulated devices or virtual drivers can let an attacker break out of one VM and control the host, thereby gaining access to all co-located tenants. Mitigation: timely patching, </w:t>
      </w:r>
      <w:r w:rsidRPr="00FE6240">
        <w:rPr>
          <w:rFonts w:ascii="Times New Roman" w:hAnsi="Times New Roman" w:cs="Times New Roman"/>
          <w:sz w:val="24"/>
          <w:szCs w:val="24"/>
        </w:rPr>
        <w:lastRenderedPageBreak/>
        <w:t>minimal hypervisor footprint, disabling unused virtual devices, secure boot, and hardened host configuration.</w:t>
      </w:r>
    </w:p>
    <w:p w14:paraId="13926B55"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b/>
          <w:bCs/>
          <w:sz w:val="24"/>
          <w:szCs w:val="24"/>
        </w:rPr>
        <w:t xml:space="preserve">2. Shared resources and virtual network / management plane. </w:t>
      </w:r>
      <w:r w:rsidRPr="00FE6240">
        <w:rPr>
          <w:rFonts w:ascii="Times New Roman" w:hAnsi="Times New Roman" w:cs="Times New Roman"/>
          <w:sz w:val="24"/>
          <w:szCs w:val="24"/>
        </w:rPr>
        <w:t>Side-channel attacks (cache timing, Spectre/Meltdown class), VM-to-VM traffic across virtual switches, VM sprawl, snapshot/image theft and compromised management consoles or APIs can expose data. Mitigation: micro-segmentation, VLAN separation, dedicated hosts for sensitive tenants, encrypted snapshots, RBAC with multi-factor authentication and audit logging for the management interface.</w:t>
      </w:r>
    </w:p>
    <w:p w14:paraId="732C6AC7" w14:textId="110BFA5B" w:rsidR="006F12E3" w:rsidRPr="00FE6240" w:rsidRDefault="0045150A">
      <w:pPr>
        <w:pBdr>
          <w:top w:val="single" w:sz="4" w:space="0" w:color="999999"/>
          <w:left w:val="single" w:sz="4" w:space="0" w:color="999999"/>
          <w:bottom w:val="single" w:sz="4" w:space="0" w:color="999999"/>
          <w:right w:val="single" w:sz="4" w:space="0" w:color="999999"/>
        </w:pBdr>
        <w:spacing w:before="120" w:after="6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3BB3182" wp14:editId="092538DE">
            <wp:extent cx="6391275" cy="5509516"/>
            <wp:effectExtent l="0" t="0" r="0" b="0"/>
            <wp:docPr id="1071932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399325" cy="5516455"/>
                    </a:xfrm>
                    <a:prstGeom prst="rect">
                      <a:avLst/>
                    </a:prstGeom>
                    <a:noFill/>
                  </pic:spPr>
                </pic:pic>
              </a:graphicData>
            </a:graphic>
          </wp:inline>
        </w:drawing>
      </w:r>
    </w:p>
    <w:p w14:paraId="0A093867" w14:textId="77777777" w:rsidR="006F12E3" w:rsidRPr="00FE6240" w:rsidRDefault="00DC2113">
      <w:pPr>
        <w:spacing w:after="200"/>
        <w:jc w:val="center"/>
        <w:rPr>
          <w:rFonts w:ascii="Times New Roman" w:hAnsi="Times New Roman" w:cs="Times New Roman"/>
          <w:sz w:val="24"/>
          <w:szCs w:val="24"/>
        </w:rPr>
      </w:pPr>
      <w:r w:rsidRPr="00FE6240">
        <w:rPr>
          <w:rFonts w:ascii="Times New Roman" w:hAnsi="Times New Roman" w:cs="Times New Roman"/>
          <w:i/>
          <w:iCs/>
        </w:rPr>
        <w:t>Figure 2: Virtual Network Editor showing separate Host-only / NAT / Bridged networks for isolating workloads.</w:t>
      </w:r>
    </w:p>
    <w:p w14:paraId="40EE8D39" w14:textId="77777777" w:rsidR="0045150A" w:rsidRDefault="0045150A">
      <w:pPr>
        <w:pStyle w:val="Heading1"/>
        <w:rPr>
          <w:rFonts w:ascii="Times New Roman" w:hAnsi="Times New Roman" w:cs="Times New Roman"/>
          <w:sz w:val="32"/>
          <w:szCs w:val="32"/>
        </w:rPr>
      </w:pPr>
    </w:p>
    <w:p w14:paraId="6D2A3E40" w14:textId="77777777" w:rsidR="0045150A" w:rsidRDefault="0045150A">
      <w:pPr>
        <w:pStyle w:val="Heading1"/>
        <w:rPr>
          <w:rFonts w:ascii="Times New Roman" w:hAnsi="Times New Roman" w:cs="Times New Roman"/>
          <w:sz w:val="32"/>
          <w:szCs w:val="32"/>
        </w:rPr>
      </w:pPr>
    </w:p>
    <w:p w14:paraId="1EC56E4F" w14:textId="1AACAB09"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t>Question 3: VM Host Utilization Analysis</w:t>
      </w:r>
    </w:p>
    <w:p w14:paraId="17258A98"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Snapshot: CPU 92%, memory 88%, storage I/O latency 35 ms, average VM boot time 170 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530"/>
        <w:gridCol w:w="3530"/>
      </w:tblGrid>
      <w:tr w:rsidR="006F12E3" w:rsidRPr="00FE6240" w14:paraId="09F8FEBB" w14:textId="77777777">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6429E0C"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lastRenderedPageBreak/>
              <w:t>Metric</w:t>
            </w:r>
          </w:p>
        </w:tc>
        <w:tc>
          <w:tcPr>
            <w:tcW w:w="35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4B5E803"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Interpretation</w:t>
            </w:r>
          </w:p>
        </w:tc>
        <w:tc>
          <w:tcPr>
            <w:tcW w:w="35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9270A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Likely Bottleneck / Impact</w:t>
            </w:r>
          </w:p>
        </w:tc>
      </w:tr>
      <w:tr w:rsidR="006F12E3" w:rsidRPr="00FE6240" w14:paraId="5DDC1E9F"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50FEA9"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CPU 92%</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46721C"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Well above the usual 70-80% safe ceiling; little headroom for bursts.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947868"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CPU overcommitment; high CPU ready time causes VMs to wait for scheduling; slow application response.</w:t>
            </w:r>
          </w:p>
        </w:tc>
      </w:tr>
      <w:tr w:rsidR="006F12E3" w:rsidRPr="00FE6240" w14:paraId="6649C6CA"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8FA8B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Memory 88%</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248E82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Close to exhaustion.</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EC7F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Risk of ballooning, host swapping and page sharing/compression, which push extra load onto storage and CPU.</w:t>
            </w:r>
          </w:p>
        </w:tc>
      </w:tr>
      <w:tr w:rsidR="006F12E3" w:rsidRPr="00FE6240" w14:paraId="2F0C799B"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5C1A7C"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Storage I/O latency 35 ms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70DE7D"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Healthy datastores are typically below 10-20 ms.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143A4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Storage contention (too many VMs on one datastore/LUN, slow disks, insufficient IOPS, possible swap traffic).</w:t>
            </w:r>
          </w:p>
        </w:tc>
      </w:tr>
      <w:tr w:rsidR="006F12E3" w:rsidRPr="00FE6240" w14:paraId="7334B9AC" w14:textId="77777777">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A1F1A0"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Boot time 170 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BF311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Normal boot is roughly 30-60 s.</w:t>
            </w:r>
          </w:p>
        </w:tc>
        <w:tc>
          <w:tcPr>
            <w:tcW w:w="35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CAE80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Boot storms and disk read latency plus CPU/memory contention during VM start-up.</w:t>
            </w:r>
          </w:p>
        </w:tc>
      </w:tr>
    </w:tbl>
    <w:p w14:paraId="48C3E6DB"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Explanation of likely bottlenecks</w:t>
      </w:r>
    </w:p>
    <w:p w14:paraId="1E7C44A4"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The primary bottleneck is storage I/O combined with resource overcommitment. High memory usage triggers swapping/ballooning, which creates extra disk I/O; already slow storage (35 ms) then delays boot reads and application I/O; and a CPU at 92% prolongs guest start-up processing. The factors reinforce each other, so boot time rises sharply (cause-effect chain: memory pressure, then swap I/O, then latency increase, then slow boot and CPU wait).</w:t>
      </w:r>
    </w:p>
    <w:p w14:paraId="2061FC54"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Recommended corrective actions</w:t>
      </w:r>
    </w:p>
    <w:p w14:paraId="6A19F78F"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Load balancing:</w:t>
      </w:r>
      <w:r w:rsidRPr="00FE6240">
        <w:rPr>
          <w:rFonts w:ascii="Times New Roman" w:hAnsi="Times New Roman" w:cs="Times New Roman"/>
          <w:sz w:val="24"/>
          <w:szCs w:val="24"/>
        </w:rPr>
        <w:t xml:space="preserve"> Use live migration / DRS to move VMs to less loaded hosts and rebalance the cluster.</w:t>
      </w:r>
    </w:p>
    <w:p w14:paraId="013B0903"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Right-sizing:</w:t>
      </w:r>
      <w:r w:rsidRPr="00FE6240">
        <w:rPr>
          <w:rFonts w:ascii="Times New Roman" w:hAnsi="Times New Roman" w:cs="Times New Roman"/>
          <w:sz w:val="24"/>
          <w:szCs w:val="24"/>
        </w:rPr>
        <w:t xml:space="preserve"> Right-size VMs (reduce over-allocated vCPUs and RAM), remove idle VMs, and set reservations only where needed.</w:t>
      </w:r>
    </w:p>
    <w:p w14:paraId="50D56652"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Capacity expansion:</w:t>
      </w:r>
      <w:r w:rsidRPr="00FE6240">
        <w:rPr>
          <w:rFonts w:ascii="Times New Roman" w:hAnsi="Times New Roman" w:cs="Times New Roman"/>
          <w:sz w:val="24"/>
          <w:szCs w:val="24"/>
        </w:rPr>
        <w:t xml:space="preserve"> Add hosts or RAM/CPU capacity; enable auto-scaling for peak workloads.</w:t>
      </w:r>
    </w:p>
    <w:p w14:paraId="25C3346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Storage improvement:</w:t>
      </w:r>
      <w:r w:rsidRPr="00FE6240">
        <w:rPr>
          <w:rFonts w:ascii="Times New Roman" w:hAnsi="Times New Roman" w:cs="Times New Roman"/>
          <w:sz w:val="24"/>
          <w:szCs w:val="24"/>
        </w:rPr>
        <w:t xml:space="preserve"> Move I/O-heavy VMs to SSD/NVMe tiers, spread VMs across multiple datastores, enable Storage DRS / storage I/O control, and check multipathing and RAID configuration.</w:t>
      </w:r>
    </w:p>
    <w:p w14:paraId="4CBE25D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Faster boot:</w:t>
      </w:r>
      <w:r w:rsidRPr="00FE6240">
        <w:rPr>
          <w:rFonts w:ascii="Times New Roman" w:hAnsi="Times New Roman" w:cs="Times New Roman"/>
          <w:sz w:val="24"/>
          <w:szCs w:val="24"/>
        </w:rPr>
        <w:t xml:space="preserve"> Use linked/thin clones or cached templates, stagger VM power-on, and use SSD-backed boot datastores.</w:t>
      </w:r>
    </w:p>
    <w:p w14:paraId="35BE7B74" w14:textId="77777777" w:rsidR="006F12E3"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Monitoring:</w:t>
      </w:r>
      <w:r w:rsidRPr="00FE6240">
        <w:rPr>
          <w:rFonts w:ascii="Times New Roman" w:hAnsi="Times New Roman" w:cs="Times New Roman"/>
          <w:sz w:val="24"/>
          <w:szCs w:val="24"/>
        </w:rPr>
        <w:t xml:space="preserve"> Set alerts (CPU &gt; 80%, memory &gt; 85%, latency &gt; 20 ms) and review trends for capacity planning.</w:t>
      </w:r>
    </w:p>
    <w:p w14:paraId="72AE13E8" w14:textId="06227BA7" w:rsidR="0045150A" w:rsidRPr="00FE6240" w:rsidRDefault="0045150A" w:rsidP="0045150A">
      <w:pPr>
        <w:pStyle w:val="ListParagraph"/>
        <w:spacing w:after="60"/>
        <w:ind w:left="720"/>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B5D8BA8" wp14:editId="5AD122B9">
            <wp:extent cx="4933950" cy="4411588"/>
            <wp:effectExtent l="0" t="0" r="0" b="8255"/>
            <wp:docPr id="5072716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49178" cy="4425204"/>
                    </a:xfrm>
                    <a:prstGeom prst="rect">
                      <a:avLst/>
                    </a:prstGeom>
                    <a:noFill/>
                  </pic:spPr>
                </pic:pic>
              </a:graphicData>
            </a:graphic>
          </wp:inline>
        </w:drawing>
      </w:r>
    </w:p>
    <w:p w14:paraId="0822A9D2" w14:textId="77777777" w:rsidR="006F12E3" w:rsidRPr="00FE6240" w:rsidRDefault="00DC2113">
      <w:pPr>
        <w:spacing w:after="200"/>
        <w:jc w:val="center"/>
        <w:rPr>
          <w:rFonts w:ascii="Times New Roman" w:hAnsi="Times New Roman" w:cs="Times New Roman"/>
          <w:sz w:val="24"/>
          <w:szCs w:val="24"/>
        </w:rPr>
      </w:pPr>
      <w:r w:rsidRPr="00FE6240">
        <w:rPr>
          <w:rFonts w:ascii="Times New Roman" w:hAnsi="Times New Roman" w:cs="Times New Roman"/>
          <w:i/>
          <w:iCs/>
        </w:rPr>
        <w:t>Figure 3: VM → Manage → Clone, demonstrating replicas/scale-out to relieve an overloaded host.</w:t>
      </w:r>
    </w:p>
    <w:p w14:paraId="34D9860D" w14:textId="77777777"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t>Question 4: Software Defined Datacenter (SDDC) vs Traditional Datacenter</w:t>
      </w:r>
    </w:p>
    <w:p w14:paraId="17F8735F"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A Software Defined Datacenter virtualizes compute, storage and networking and manages them through software with policy-based automation and APIs. A traditional datacenter ties each function to dedicated hardware managed manually, which makes changes slow.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830"/>
        <w:gridCol w:w="3830"/>
      </w:tblGrid>
      <w:tr w:rsidR="006F12E3" w:rsidRPr="00FE6240" w14:paraId="492F8AD6"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16EC467"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Dimension</w:t>
            </w:r>
          </w:p>
        </w:tc>
        <w:tc>
          <w:tcPr>
            <w:tcW w:w="38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1716270"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Traditional Datacenter</w:t>
            </w:r>
          </w:p>
        </w:tc>
        <w:tc>
          <w:tcPr>
            <w:tcW w:w="383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5DA0CF2"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Software Defined Datacenter</w:t>
            </w:r>
          </w:p>
        </w:tc>
      </w:tr>
      <w:tr w:rsidR="006F12E3" w:rsidRPr="00FE6240" w14:paraId="1127BBD4"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FEE20E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Compute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17D70"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Physical servers per application; provisioning takes days or weeks; low utilization.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5E5EFA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Server virtualization (VMs/containers); provisioned in minutes from templates; pooled resources, live migration, auto-scaling; high utilization.</w:t>
            </w:r>
          </w:p>
        </w:tc>
      </w:tr>
      <w:tr w:rsidR="006F12E3" w:rsidRPr="00FE6240" w14:paraId="628D2C31"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C5D65B2"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Storage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13218C"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Fixed SAN/NAS arrays; manual LUN provisioning; vendor lock-in.</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FAE76E"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Software-defined storage (e.g., vSAN, Ceph) pools commodity disks; policy-based provisioning, tiering, replication, snapshots.</w:t>
            </w:r>
          </w:p>
        </w:tc>
      </w:tr>
      <w:tr w:rsidR="006F12E3" w:rsidRPr="00FE6240" w14:paraId="04115697"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E54DB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Network</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E306E6"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Hardware switches/routers configured box by box; VLAN changes by hand.</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78C7FD9"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Network virtualization/SDN (e.g., NSX, OpenFlow): separate control and data plane, logical switches/routers, micro-segmentation, programmable via API.</w:t>
            </w:r>
          </w:p>
        </w:tc>
      </w:tr>
      <w:tr w:rsidR="006F12E3" w:rsidRPr="00FE6240" w14:paraId="4607A2F2"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339F85"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t>Management</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B81CA"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Siloed teams and tools; manual and error-prone.</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2EFF5F"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Unified orchestration and automation; infrastructure as code; self-service portal.</w:t>
            </w:r>
          </w:p>
        </w:tc>
      </w:tr>
      <w:tr w:rsidR="006F12E3" w:rsidRPr="00FE6240" w14:paraId="729A4BD8" w14:textId="77777777">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030A09"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b/>
                <w:bCs/>
              </w:rPr>
              <w:lastRenderedPageBreak/>
              <w:t>Cost model</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A4D93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High CapEx; over-provisioning.</w:t>
            </w:r>
          </w:p>
        </w:tc>
        <w:tc>
          <w:tcPr>
            <w:tcW w:w="383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2E7DBB" w14:textId="77777777" w:rsidR="006F12E3" w:rsidRPr="00FE6240" w:rsidRDefault="00DC2113">
            <w:pPr>
              <w:rPr>
                <w:rFonts w:ascii="Times New Roman" w:hAnsi="Times New Roman" w:cs="Times New Roman"/>
                <w:sz w:val="24"/>
                <w:szCs w:val="24"/>
              </w:rPr>
            </w:pPr>
            <w:r w:rsidRPr="00FE6240">
              <w:rPr>
                <w:rFonts w:ascii="Times New Roman" w:hAnsi="Times New Roman" w:cs="Times New Roman"/>
              </w:rPr>
              <w:t>Commodity hardware; pay-as-you-grow; lower OpEx.</w:t>
            </w:r>
          </w:p>
        </w:tc>
      </w:tr>
    </w:tbl>
    <w:p w14:paraId="245C804D"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Analysis of agility improvement</w:t>
      </w:r>
    </w:p>
    <w:p w14:paraId="0BB2D3EE"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Speed of provisioning:</w:t>
      </w:r>
      <w:r w:rsidRPr="00FE6240">
        <w:rPr>
          <w:rFonts w:ascii="Times New Roman" w:hAnsi="Times New Roman" w:cs="Times New Roman"/>
          <w:sz w:val="24"/>
          <w:szCs w:val="24"/>
        </w:rPr>
        <w:t xml:space="preserve"> New environments (VMs, volumes and networks) can be created, cloned or destroyed in minutes through templates and APIs, supporting faster releases and DevOps.</w:t>
      </w:r>
    </w:p>
    <w:p w14:paraId="66790FA6"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Elasticity and mobility:</w:t>
      </w:r>
      <w:r w:rsidRPr="00FE6240">
        <w:rPr>
          <w:rFonts w:ascii="Times New Roman" w:hAnsi="Times New Roman" w:cs="Times New Roman"/>
          <w:sz w:val="24"/>
          <w:szCs w:val="24"/>
        </w:rPr>
        <w:t xml:space="preserve"> Resources scale up or down on demand (elasticity) and workloads move between hosts without downtime.</w:t>
      </w:r>
    </w:p>
    <w:p w14:paraId="4D5A4A5E"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Consistency and automation:</w:t>
      </w:r>
      <w:r w:rsidRPr="00FE6240">
        <w:rPr>
          <w:rFonts w:ascii="Times New Roman" w:hAnsi="Times New Roman" w:cs="Times New Roman"/>
          <w:sz w:val="24"/>
          <w:szCs w:val="24"/>
        </w:rPr>
        <w:t xml:space="preserve"> A single policy engine applies the same security and QoS rules across compute, storage and network, reducing configuration drift and human error.</w:t>
      </w:r>
    </w:p>
    <w:p w14:paraId="1BE3C3AE"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Resilience and portability:</w:t>
      </w:r>
      <w:r w:rsidRPr="00FE6240">
        <w:rPr>
          <w:rFonts w:ascii="Times New Roman" w:hAnsi="Times New Roman" w:cs="Times New Roman"/>
          <w:sz w:val="24"/>
          <w:szCs w:val="24"/>
        </w:rPr>
        <w:t xml:space="preserve"> Disaster recovery, backup and hybrid cloud connectivity are easier because the infrastructure is abstracted from hardware.</w:t>
      </w:r>
    </w:p>
    <w:p w14:paraId="0BD6A149" w14:textId="77777777" w:rsidR="006F12E3" w:rsidRDefault="00DC2113">
      <w:pPr>
        <w:spacing w:after="120"/>
        <w:rPr>
          <w:rFonts w:ascii="Times New Roman" w:hAnsi="Times New Roman" w:cs="Times New Roman"/>
          <w:sz w:val="24"/>
          <w:szCs w:val="24"/>
        </w:rPr>
      </w:pPr>
      <w:r w:rsidRPr="00FE6240">
        <w:rPr>
          <w:rFonts w:ascii="Times New Roman" w:hAnsi="Times New Roman" w:cs="Times New Roman"/>
          <w:b/>
          <w:bCs/>
          <w:sz w:val="24"/>
          <w:szCs w:val="24"/>
        </w:rPr>
        <w:t xml:space="preserve">Conclusion: </w:t>
      </w:r>
      <w:r w:rsidRPr="00FE6240">
        <w:rPr>
          <w:rFonts w:ascii="Times New Roman" w:hAnsi="Times New Roman" w:cs="Times New Roman"/>
          <w:sz w:val="24"/>
          <w:szCs w:val="24"/>
        </w:rPr>
        <w:t>By abstracting hardware into software-controlled pools, SDDC removes manual bottlenecks and enables rapid, repeatable and policy-driven change, giving much higher agility than a traditional datacenter.</w:t>
      </w:r>
    </w:p>
    <w:p w14:paraId="109B3AA8" w14:textId="14C69EEB" w:rsidR="0045150A" w:rsidRPr="00FE6240" w:rsidRDefault="0045150A">
      <w:pPr>
        <w:spacing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1737F34" wp14:editId="0D9F38FA">
            <wp:extent cx="5772150" cy="4329113"/>
            <wp:effectExtent l="0" t="0" r="0" b="0"/>
            <wp:docPr id="1648497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82315" cy="4336737"/>
                    </a:xfrm>
                    <a:prstGeom prst="rect">
                      <a:avLst/>
                    </a:prstGeom>
                    <a:noFill/>
                  </pic:spPr>
                </pic:pic>
              </a:graphicData>
            </a:graphic>
          </wp:inline>
        </w:drawing>
      </w:r>
    </w:p>
    <w:p w14:paraId="574526D0" w14:textId="77777777" w:rsidR="006F12E3" w:rsidRPr="00FE6240" w:rsidRDefault="00DC2113">
      <w:pPr>
        <w:spacing w:after="200"/>
        <w:jc w:val="center"/>
        <w:rPr>
          <w:rFonts w:ascii="Times New Roman" w:hAnsi="Times New Roman" w:cs="Times New Roman"/>
          <w:sz w:val="24"/>
          <w:szCs w:val="24"/>
        </w:rPr>
      </w:pPr>
      <w:r w:rsidRPr="00FE6240">
        <w:rPr>
          <w:rFonts w:ascii="Times New Roman" w:hAnsi="Times New Roman" w:cs="Times New Roman"/>
          <w:i/>
          <w:iCs/>
        </w:rPr>
        <w:t>Figure 4: Virtual Network Editor (NAT / Host-only / Bridged) showing software-defined networking.</w:t>
      </w:r>
    </w:p>
    <w:p w14:paraId="73560162" w14:textId="77777777" w:rsidR="0045150A" w:rsidRDefault="0045150A">
      <w:pPr>
        <w:pStyle w:val="Heading1"/>
        <w:rPr>
          <w:rFonts w:ascii="Times New Roman" w:hAnsi="Times New Roman" w:cs="Times New Roman"/>
          <w:sz w:val="32"/>
          <w:szCs w:val="32"/>
        </w:rPr>
      </w:pPr>
    </w:p>
    <w:p w14:paraId="5CA04AC5" w14:textId="77777777" w:rsidR="0045150A" w:rsidRDefault="0045150A">
      <w:pPr>
        <w:pStyle w:val="Heading1"/>
        <w:rPr>
          <w:rFonts w:ascii="Times New Roman" w:hAnsi="Times New Roman" w:cs="Times New Roman"/>
          <w:sz w:val="32"/>
          <w:szCs w:val="32"/>
        </w:rPr>
      </w:pPr>
    </w:p>
    <w:p w14:paraId="12EED9C6" w14:textId="45800DDA" w:rsidR="006F12E3" w:rsidRPr="00FE6240" w:rsidRDefault="00DC2113">
      <w:pPr>
        <w:pStyle w:val="Heading1"/>
        <w:rPr>
          <w:rFonts w:ascii="Times New Roman" w:hAnsi="Times New Roman" w:cs="Times New Roman"/>
          <w:sz w:val="32"/>
          <w:szCs w:val="32"/>
        </w:rPr>
      </w:pPr>
      <w:r w:rsidRPr="00FE6240">
        <w:rPr>
          <w:rFonts w:ascii="Times New Roman" w:hAnsi="Times New Roman" w:cs="Times New Roman"/>
          <w:sz w:val="32"/>
          <w:szCs w:val="32"/>
        </w:rPr>
        <w:lastRenderedPageBreak/>
        <w:t>Question 5: Multi-Cloud Federation Identity Mismatch</w:t>
      </w:r>
    </w:p>
    <w:p w14:paraId="70253D18"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Analysis of the issue</w:t>
      </w:r>
    </w:p>
    <w:p w14:paraId="5FA5BC73"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Each cloud provider (e.g., AWS, Azure, GCP, private cloud) maintains its own identity store, user naming format, attribute schema, roles and token format. When clouds are federated without a common trust framework, the same user can appear under different identifiers (e.g., user@a.com vs UID123), roles do not map, and tokens are not mutually understood. This causes authentication failures, authorization errors, duplicate or orphaned accounts, and also encourages insecure workarounds such as shared credentials.</w:t>
      </w:r>
    </w:p>
    <w:p w14:paraId="743B75FE"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Root causes: (1) no common identity standard, (2) no agreed attribute/role mapping, (3) lack of cross-provider trust between identity providers, (4) inconsistent lifecycle management (deprovisioning), and (5) different privacy and compliance requirements.</w:t>
      </w:r>
    </w:p>
    <w:p w14:paraId="282A98E5" w14:textId="77777777"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Proposed secure identity and privacy design</w:t>
      </w:r>
    </w:p>
    <w:p w14:paraId="05385A58"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Federated identity with trust relationships:</w:t>
      </w:r>
      <w:r w:rsidRPr="00FE6240">
        <w:rPr>
          <w:rFonts w:ascii="Times New Roman" w:hAnsi="Times New Roman" w:cs="Times New Roman"/>
          <w:sz w:val="24"/>
          <w:szCs w:val="24"/>
        </w:rPr>
        <w:t xml:space="preserve"> Use a central or trusted Identity Provider (IdP) such as Azure AD/Okta/Keycloak; each cloud acts as a Service Provider (SP) and trusts it.</w:t>
      </w:r>
    </w:p>
    <w:p w14:paraId="5DEE8A94"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Open standards:</w:t>
      </w:r>
      <w:r w:rsidRPr="00FE6240">
        <w:rPr>
          <w:rFonts w:ascii="Times New Roman" w:hAnsi="Times New Roman" w:cs="Times New Roman"/>
          <w:sz w:val="24"/>
          <w:szCs w:val="24"/>
        </w:rPr>
        <w:t xml:space="preserve"> Use SAML 2.0 for enterprise web SSO and OpenID Connect / OAuth 2.0 for API and modern applications, with signed and short-lived tokens (JWT).</w:t>
      </w:r>
    </w:p>
    <w:p w14:paraId="23473AD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Identity normalization:</w:t>
      </w:r>
      <w:r w:rsidRPr="00FE6240">
        <w:rPr>
          <w:rFonts w:ascii="Times New Roman" w:hAnsi="Times New Roman" w:cs="Times New Roman"/>
          <w:sz w:val="24"/>
          <w:szCs w:val="24"/>
        </w:rPr>
        <w:t xml:space="preserve"> Use SCIM for automatic provisioning and deprovisioning of accounts across providers; adopt a unique, persistent identifier (e.g., immutable GUID).</w:t>
      </w:r>
    </w:p>
    <w:p w14:paraId="7EA9133B"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Attribute and role mapping:</w:t>
      </w:r>
      <w:r w:rsidRPr="00FE6240">
        <w:rPr>
          <w:rFonts w:ascii="Times New Roman" w:hAnsi="Times New Roman" w:cs="Times New Roman"/>
          <w:sz w:val="24"/>
          <w:szCs w:val="24"/>
        </w:rPr>
        <w:t xml:space="preserve"> Create a common attribute schema and map IdP groups/claims to each cloud's IAM roles using RBAC/ABAC with least privilege.</w:t>
      </w:r>
    </w:p>
    <w:p w14:paraId="3753C96D"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Security controls:</w:t>
      </w:r>
      <w:r w:rsidRPr="00FE6240">
        <w:rPr>
          <w:rFonts w:ascii="Times New Roman" w:hAnsi="Times New Roman" w:cs="Times New Roman"/>
          <w:sz w:val="24"/>
          <w:szCs w:val="24"/>
        </w:rPr>
        <w:t xml:space="preserve"> Enforce MFA, conditional access, certificate/key rotation, TLS everywhere and centralized audit logs/SIEM.</w:t>
      </w:r>
    </w:p>
    <w:p w14:paraId="24633257"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Privacy:</w:t>
      </w:r>
      <w:r w:rsidRPr="00FE6240">
        <w:rPr>
          <w:rFonts w:ascii="Times New Roman" w:hAnsi="Times New Roman" w:cs="Times New Roman"/>
          <w:sz w:val="24"/>
          <w:szCs w:val="24"/>
        </w:rPr>
        <w:t xml:space="preserve"> Release only the minimum required attributes (data minimization), use pairwise/pseudonymous identifiers, user consent, and encryption of personal data; comply with GDPR/DPDP-type regulations and data-residency rules.</w:t>
      </w:r>
    </w:p>
    <w:p w14:paraId="0C8F01FC" w14:textId="77777777" w:rsidR="006F12E3" w:rsidRPr="00FE6240" w:rsidRDefault="00DC2113">
      <w:pPr>
        <w:pStyle w:val="ListParagraph"/>
        <w:numPr>
          <w:ilvl w:val="0"/>
          <w:numId w:val="2"/>
        </w:numPr>
        <w:spacing w:after="60"/>
        <w:rPr>
          <w:rFonts w:ascii="Times New Roman" w:hAnsi="Times New Roman" w:cs="Times New Roman"/>
          <w:sz w:val="24"/>
          <w:szCs w:val="24"/>
        </w:rPr>
      </w:pPr>
      <w:r w:rsidRPr="00FE6240">
        <w:rPr>
          <w:rFonts w:ascii="Times New Roman" w:hAnsi="Times New Roman" w:cs="Times New Roman"/>
          <w:b/>
          <w:bCs/>
          <w:sz w:val="24"/>
          <w:szCs w:val="24"/>
        </w:rPr>
        <w:t>Governance:</w:t>
      </w:r>
      <w:r w:rsidRPr="00FE6240">
        <w:rPr>
          <w:rFonts w:ascii="Times New Roman" w:hAnsi="Times New Roman" w:cs="Times New Roman"/>
          <w:sz w:val="24"/>
          <w:szCs w:val="24"/>
        </w:rPr>
        <w:t xml:space="preserve"> Use periodic access reviews, federation metadata exchange and automated revocation when a user leaves.</w:t>
      </w:r>
    </w:p>
    <w:p w14:paraId="5CE15CAF" w14:textId="77777777" w:rsidR="00FE6240" w:rsidRPr="00FE6240" w:rsidRDefault="00FE6240">
      <w:pPr>
        <w:pStyle w:val="Heading2"/>
        <w:rPr>
          <w:rFonts w:ascii="Times New Roman" w:hAnsi="Times New Roman" w:cs="Times New Roman"/>
          <w:sz w:val="28"/>
          <w:szCs w:val="28"/>
        </w:rPr>
      </w:pPr>
    </w:p>
    <w:p w14:paraId="39DDB613" w14:textId="77777777" w:rsidR="00FE6240" w:rsidRPr="00FE6240" w:rsidRDefault="00FE6240">
      <w:pPr>
        <w:pStyle w:val="Heading2"/>
        <w:rPr>
          <w:rFonts w:ascii="Times New Roman" w:hAnsi="Times New Roman" w:cs="Times New Roman"/>
          <w:sz w:val="28"/>
          <w:szCs w:val="28"/>
        </w:rPr>
      </w:pPr>
    </w:p>
    <w:p w14:paraId="654BD3DF" w14:textId="4CAD9298" w:rsidR="006F12E3" w:rsidRPr="00FE6240" w:rsidRDefault="00DC2113">
      <w:pPr>
        <w:pStyle w:val="Heading2"/>
        <w:rPr>
          <w:rFonts w:ascii="Times New Roman" w:hAnsi="Times New Roman" w:cs="Times New Roman"/>
          <w:sz w:val="28"/>
          <w:szCs w:val="28"/>
        </w:rPr>
      </w:pPr>
      <w:r w:rsidRPr="00FE6240">
        <w:rPr>
          <w:rFonts w:ascii="Times New Roman" w:hAnsi="Times New Roman" w:cs="Times New Roman"/>
          <w:sz w:val="28"/>
          <w:szCs w:val="28"/>
        </w:rPr>
        <w:t>Flow</w:t>
      </w:r>
    </w:p>
    <w:p w14:paraId="290BFC1D" w14:textId="77777777" w:rsidR="006F12E3" w:rsidRPr="00FE6240" w:rsidRDefault="00DC2113">
      <w:pPr>
        <w:spacing w:after="120"/>
        <w:rPr>
          <w:rFonts w:ascii="Times New Roman" w:hAnsi="Times New Roman" w:cs="Times New Roman"/>
          <w:sz w:val="24"/>
          <w:szCs w:val="24"/>
        </w:rPr>
      </w:pPr>
      <w:r w:rsidRPr="00FE6240">
        <w:rPr>
          <w:rFonts w:ascii="Times New Roman" w:hAnsi="Times New Roman" w:cs="Times New Roman"/>
          <w:sz w:val="24"/>
          <w:szCs w:val="24"/>
        </w:rPr>
        <w:t>User logs in to the trusted IdP, then the IdP authenticates (MFA) and issues a signed token/assertion with minimal claims, then Cloud A/B/C validate the signature, map claims to local roles and grant least-privilege access, then all access is logged and audited.</w:t>
      </w:r>
    </w:p>
    <w:p w14:paraId="658B20BF" w14:textId="099EBD1D" w:rsidR="006F12E3" w:rsidRPr="00FE6240" w:rsidRDefault="006F12E3">
      <w:pPr>
        <w:spacing w:after="200"/>
        <w:jc w:val="center"/>
        <w:rPr>
          <w:rFonts w:ascii="Times New Roman" w:hAnsi="Times New Roman" w:cs="Times New Roman"/>
        </w:rPr>
      </w:pPr>
    </w:p>
    <w:sectPr w:rsidR="006F12E3" w:rsidRPr="00FE6240">
      <w:pgSz w:w="11906" w:h="16838"/>
      <w:pgMar w:top="1200" w:right="1273" w:bottom="1200"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65238"/>
    <w:multiLevelType w:val="hybridMultilevel"/>
    <w:tmpl w:val="E1F03406"/>
    <w:lvl w:ilvl="0" w:tplc="28384A68">
      <w:start w:val="1"/>
      <w:numFmt w:val="bullet"/>
      <w:lvlText w:val="•"/>
      <w:lvlJc w:val="left"/>
      <w:pPr>
        <w:ind w:left="720" w:hanging="360"/>
      </w:pPr>
    </w:lvl>
    <w:lvl w:ilvl="1" w:tplc="E1B8144E">
      <w:numFmt w:val="decimal"/>
      <w:lvlText w:val=""/>
      <w:lvlJc w:val="left"/>
    </w:lvl>
    <w:lvl w:ilvl="2" w:tplc="4B8A4278">
      <w:numFmt w:val="decimal"/>
      <w:lvlText w:val=""/>
      <w:lvlJc w:val="left"/>
    </w:lvl>
    <w:lvl w:ilvl="3" w:tplc="47EED78C">
      <w:numFmt w:val="decimal"/>
      <w:lvlText w:val=""/>
      <w:lvlJc w:val="left"/>
    </w:lvl>
    <w:lvl w:ilvl="4" w:tplc="A25C34DC">
      <w:numFmt w:val="decimal"/>
      <w:lvlText w:val=""/>
      <w:lvlJc w:val="left"/>
    </w:lvl>
    <w:lvl w:ilvl="5" w:tplc="4D926948">
      <w:numFmt w:val="decimal"/>
      <w:lvlText w:val=""/>
      <w:lvlJc w:val="left"/>
    </w:lvl>
    <w:lvl w:ilvl="6" w:tplc="810654B8">
      <w:numFmt w:val="decimal"/>
      <w:lvlText w:val=""/>
      <w:lvlJc w:val="left"/>
    </w:lvl>
    <w:lvl w:ilvl="7" w:tplc="91364994">
      <w:numFmt w:val="decimal"/>
      <w:lvlText w:val=""/>
      <w:lvlJc w:val="left"/>
    </w:lvl>
    <w:lvl w:ilvl="8" w:tplc="1FDA6B94">
      <w:numFmt w:val="decimal"/>
      <w:lvlText w:val=""/>
      <w:lvlJc w:val="left"/>
    </w:lvl>
  </w:abstractNum>
  <w:abstractNum w:abstractNumId="1" w15:restartNumberingAfterBreak="0">
    <w:nsid w:val="429A3F97"/>
    <w:multiLevelType w:val="hybridMultilevel"/>
    <w:tmpl w:val="6E38E452"/>
    <w:lvl w:ilvl="0" w:tplc="E1DC5EBE">
      <w:start w:val="1"/>
      <w:numFmt w:val="bullet"/>
      <w:lvlText w:val="●"/>
      <w:lvlJc w:val="left"/>
      <w:pPr>
        <w:ind w:left="720" w:hanging="360"/>
      </w:pPr>
    </w:lvl>
    <w:lvl w:ilvl="1" w:tplc="0C98A01A">
      <w:start w:val="1"/>
      <w:numFmt w:val="bullet"/>
      <w:lvlText w:val="○"/>
      <w:lvlJc w:val="left"/>
      <w:pPr>
        <w:ind w:left="1440" w:hanging="360"/>
      </w:pPr>
    </w:lvl>
    <w:lvl w:ilvl="2" w:tplc="84B8E8FE">
      <w:start w:val="1"/>
      <w:numFmt w:val="bullet"/>
      <w:lvlText w:val="■"/>
      <w:lvlJc w:val="left"/>
      <w:pPr>
        <w:ind w:left="2160" w:hanging="360"/>
      </w:pPr>
    </w:lvl>
    <w:lvl w:ilvl="3" w:tplc="EA6A7AF2">
      <w:start w:val="1"/>
      <w:numFmt w:val="bullet"/>
      <w:lvlText w:val="●"/>
      <w:lvlJc w:val="left"/>
      <w:pPr>
        <w:ind w:left="2880" w:hanging="360"/>
      </w:pPr>
    </w:lvl>
    <w:lvl w:ilvl="4" w:tplc="F2006D9C">
      <w:start w:val="1"/>
      <w:numFmt w:val="bullet"/>
      <w:lvlText w:val="○"/>
      <w:lvlJc w:val="left"/>
      <w:pPr>
        <w:ind w:left="3600" w:hanging="360"/>
      </w:pPr>
    </w:lvl>
    <w:lvl w:ilvl="5" w:tplc="82A0A5AE">
      <w:start w:val="1"/>
      <w:numFmt w:val="bullet"/>
      <w:lvlText w:val="■"/>
      <w:lvlJc w:val="left"/>
      <w:pPr>
        <w:ind w:left="4320" w:hanging="360"/>
      </w:pPr>
    </w:lvl>
    <w:lvl w:ilvl="6" w:tplc="B4ACB9A4">
      <w:start w:val="1"/>
      <w:numFmt w:val="bullet"/>
      <w:lvlText w:val="●"/>
      <w:lvlJc w:val="left"/>
      <w:pPr>
        <w:ind w:left="5040" w:hanging="360"/>
      </w:pPr>
    </w:lvl>
    <w:lvl w:ilvl="7" w:tplc="640203EC">
      <w:start w:val="1"/>
      <w:numFmt w:val="bullet"/>
      <w:lvlText w:val="●"/>
      <w:lvlJc w:val="left"/>
      <w:pPr>
        <w:ind w:left="5760" w:hanging="360"/>
      </w:pPr>
    </w:lvl>
    <w:lvl w:ilvl="8" w:tplc="CC86B62E">
      <w:start w:val="1"/>
      <w:numFmt w:val="bullet"/>
      <w:lvlText w:val="●"/>
      <w:lvlJc w:val="left"/>
      <w:pPr>
        <w:ind w:left="6480" w:hanging="360"/>
      </w:pPr>
    </w:lvl>
  </w:abstractNum>
  <w:num w:numId="1" w16cid:durableId="802581717">
    <w:abstractNumId w:val="1"/>
    <w:lvlOverride w:ilvl="0">
      <w:startOverride w:val="1"/>
    </w:lvlOverride>
  </w:num>
  <w:num w:numId="2" w16cid:durableId="137233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2E3"/>
    <w:rsid w:val="00085B60"/>
    <w:rsid w:val="0045150A"/>
    <w:rsid w:val="006F12E3"/>
    <w:rsid w:val="00DC2113"/>
    <w:rsid w:val="00F05D5B"/>
    <w:rsid w:val="00FE62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3D17A"/>
  <w15:docId w15:val="{F920A34C-2C39-4D47-BC95-DE1B6AA96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28"/>
      <w:szCs w:val="28"/>
    </w:rPr>
  </w:style>
  <w:style w:type="paragraph" w:styleId="Heading2">
    <w:name w:val="heading 2"/>
    <w:uiPriority w:val="9"/>
    <w:unhideWhenUsed/>
    <w:qFormat/>
    <w:pPr>
      <w:spacing w:before="200" w:after="10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1741</Words>
  <Characters>9926</Characters>
  <Application>Microsoft Office Word</Application>
  <DocSecurity>0</DocSecurity>
  <Lines>82</Lines>
  <Paragraphs>23</Paragraphs>
  <ScaleCrop>false</ScaleCrop>
  <Company/>
  <LinksUpToDate>false</LinksUpToDate>
  <CharactersWithSpaces>11644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PINDIBOINA SAI DEEPAK</cp:lastModifiedBy>
  <cp:revision>3</cp:revision>
  <dcterms:created xsi:type="dcterms:W3CDTF">2026-10-24T04:26:00Z</dcterms:created>
  <dcterms:modified xsi:type="dcterms:W3CDTF">2026-10-24T04:37:00Z</dcterms:modified>
</cp:coreProperties>
</file>