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A4E8C"/>
          <w:sz w:val="56"/>
        </w:rPr>
        <w:t>LIVRET STAGIAIRE</w:t>
      </w:r>
    </w:p>
    <w:p>
      <w:pPr>
        <w:jc w:val="center"/>
      </w:pPr>
      <w:r>
        <w:rPr>
          <w:b/>
          <w:color w:val="1A4E8C"/>
          <w:sz w:val="32"/>
        </w:rPr>
        <w:t>Formation et Sensibilisation ATEX NIV 1 Intervenant</w:t>
      </w:r>
    </w:p>
    <w:p>
      <w:pPr>
        <w:spacing w:after="320"/>
        <w:jc w:val="center"/>
      </w:pPr>
      <w:r>
        <w:rPr>
          <w:color w:val="E67E00"/>
          <w:sz w:val="24"/>
        </w:rPr>
        <w:t>Habilitation du personnel travaillant en zone ATEX</w:t>
      </w:r>
    </w:p>
    <w:tbl>
      <w:tblPr>
        <w:tblStyle w:val="TableGrid"/>
        <w:tblW w:type="auto" w:w="0"/>
        <w:jc w:val="center"/>
        <w:tblLook w:firstColumn="1" w:firstRow="1" w:lastColumn="0" w:lastRow="0" w:noHBand="0" w:noVBand="1" w:val="04A0"/>
      </w:tblPr>
      <w:tblGrid>
        <w:gridCol w:w="4819"/>
        <w:gridCol w:w="4819"/>
      </w:tblGrid>
      <w:tr>
        <w:tc>
          <w:tcPr>
            <w:tcW w:type="dxa" w:w="3118"/>
            <w:shd w:val="clear" w:color="auto" w:fill="1a4e8c"/>
          </w:tcPr>
          <w:p>
            <w:r>
              <w:rPr>
                <w:b/>
                <w:color w:val="FFFFFF"/>
                <w:sz w:val="20"/>
              </w:rPr>
              <w:t>Organisme de formation</w:t>
            </w:r>
          </w:p>
        </w:tc>
        <w:tc>
          <w:tcPr>
            <w:tcW w:type="dxa" w:w="6746"/>
          </w:tcPr>
          <w:p>
            <w:r>
              <w:rPr>
                <w:sz w:val="20"/>
              </w:rPr>
              <w:t>Prévensia Groupe — SIRET 107 290 579 00013</w:t>
            </w:r>
          </w:p>
        </w:tc>
      </w:tr>
      <w:tr>
        <w:tc>
          <w:tcPr>
            <w:tcW w:type="dxa" w:w="3118"/>
            <w:shd w:val="clear" w:color="auto" w:fill="1a4e8c"/>
          </w:tcPr>
          <w:p>
            <w:r>
              <w:rPr>
                <w:b/>
                <w:color w:val="FFFFFF"/>
                <w:sz w:val="20"/>
              </w:rPr>
              <w:t>Durée</w:t>
            </w:r>
          </w:p>
        </w:tc>
        <w:tc>
          <w:tcPr>
            <w:tcW w:type="dxa" w:w="6746"/>
          </w:tcPr>
          <w:p>
            <w:r>
              <w:rPr>
                <w:sz w:val="20"/>
              </w:rPr>
              <w:t>Distanciel : 4h00 à 4h30 | Présentiel : 7h</w:t>
            </w:r>
          </w:p>
        </w:tc>
      </w:tr>
      <w:tr>
        <w:tc>
          <w:tcPr>
            <w:tcW w:type="dxa" w:w="3118"/>
            <w:shd w:val="clear" w:color="auto" w:fill="1a4e8c"/>
          </w:tcPr>
          <w:p>
            <w:r>
              <w:rPr>
                <w:b/>
                <w:color w:val="FFFFFF"/>
                <w:sz w:val="20"/>
              </w:rPr>
              <w:t>Réglementation</w:t>
            </w:r>
          </w:p>
        </w:tc>
        <w:tc>
          <w:tcPr>
            <w:tcW w:type="dxa" w:w="6746"/>
          </w:tcPr>
          <w:p>
            <w:r>
              <w:rPr>
                <w:sz w:val="20"/>
              </w:rPr>
              <w:t>Art. R4227-50 · Dir. 1999/92/CE · Dir. 2014/34/UE · INERIS Oméga 36 (2025)</w:t>
            </w:r>
          </w:p>
        </w:tc>
      </w:tr>
      <w:tr>
        <w:tc>
          <w:tcPr>
            <w:tcW w:type="dxa" w:w="3118"/>
            <w:shd w:val="clear" w:color="auto" w:fill="1a4e8c"/>
          </w:tcPr>
          <w:p>
            <w:r>
              <w:rPr>
                <w:b/>
                <w:color w:val="FFFFFF"/>
                <w:sz w:val="20"/>
              </w:rPr>
              <w:t>Niveau</w:t>
            </w:r>
          </w:p>
        </w:tc>
        <w:tc>
          <w:tcPr>
            <w:tcW w:type="dxa" w:w="6746"/>
          </w:tcPr>
          <w:p>
            <w:r>
              <w:rPr>
                <w:sz w:val="20"/>
              </w:rPr>
              <w:t>ATEX NIV 1 — Intervenant en zone ATEX</w:t>
            </w:r>
          </w:p>
        </w:tc>
      </w:tr>
      <w:tr>
        <w:tc>
          <w:tcPr>
            <w:tcW w:type="dxa" w:w="3118"/>
            <w:shd w:val="clear" w:color="auto" w:fill="1a4e8c"/>
          </w:tcPr>
          <w:p>
            <w:r>
              <w:rPr>
                <w:b/>
                <w:color w:val="FFFFFF"/>
                <w:sz w:val="20"/>
              </w:rPr>
              <w:t>Nom / Prénom</w:t>
            </w:r>
          </w:p>
        </w:tc>
        <w:tc>
          <w:tcPr>
            <w:tcW w:type="dxa" w:w="6746"/>
          </w:tcPr>
          <w:p>
            <w:r>
              <w:rPr>
                <w:sz w:val="20"/>
              </w:rPr>
            </w:r>
          </w:p>
        </w:tc>
      </w:tr>
    </w:tbl>
    <w:p>
      <w:r>
        <w:br w:type="page"/>
      </w:r>
    </w:p>
    <w:p>
      <w:pPr>
        <w:shd w:val="clear" w:color="auto" w:fill="1a4e8c"/>
        <w:spacing w:before="200" w:after="100"/>
      </w:pPr>
      <w:r>
        <w:rPr>
          <w:b/>
          <w:color w:val="FFFFFF"/>
          <w:sz w:val="26"/>
        </w:rPr>
        <w:t>SOMMAIRE</w:t>
      </w:r>
    </w:p>
    <w:tbl>
      <w:tblPr>
        <w:tblStyle w:val="TableGrid"/>
        <w:tblW w:type="auto" w:w="0"/>
        <w:jc w:val="center"/>
        <w:tblLook w:firstColumn="1" w:firstRow="1" w:lastColumn="0" w:lastRow="0" w:noHBand="0" w:noVBand="1" w:val="04A0"/>
      </w:tblPr>
      <w:tblGrid>
        <w:gridCol w:w="3213"/>
        <w:gridCol w:w="3213"/>
        <w:gridCol w:w="3213"/>
      </w:tblGrid>
      <w:tr>
        <w:tc>
          <w:tcPr>
            <w:tcW w:type="dxa" w:w="850"/>
            <w:shd w:val="clear" w:color="auto" w:fill="dbeafe"/>
          </w:tcPr>
          <w:p>
            <w:r>
              <w:rPr>
                <w:b/>
                <w:sz w:val="20"/>
              </w:rPr>
              <w:t>1</w:t>
            </w:r>
          </w:p>
        </w:tc>
        <w:tc>
          <w:tcPr>
            <w:tcW w:type="dxa" w:w="7654"/>
          </w:tcPr>
          <w:p>
            <w:r>
              <w:rPr>
                <w:sz w:val="20"/>
              </w:rPr>
              <w:t>Mécanisme de l'explosion — LIE/LSE</w:t>
            </w:r>
          </w:p>
        </w:tc>
        <w:tc>
          <w:tcPr>
            <w:tcW w:type="dxa" w:w="1361"/>
          </w:tcPr>
          <w:p>
            <w:r>
              <w:rPr>
                <w:sz w:val="20"/>
              </w:rPr>
            </w:r>
          </w:p>
        </w:tc>
      </w:tr>
      <w:tr>
        <w:tc>
          <w:tcPr>
            <w:tcW w:type="dxa" w:w="850"/>
            <w:shd w:val="clear" w:color="auto" w:fill="dbeafe"/>
          </w:tcPr>
          <w:p>
            <w:r>
              <w:rPr>
                <w:b/>
                <w:sz w:val="20"/>
              </w:rPr>
              <w:t>2</w:t>
            </w:r>
          </w:p>
        </w:tc>
        <w:tc>
          <w:tcPr>
            <w:tcW w:type="dxa" w:w="7654"/>
          </w:tcPr>
          <w:p>
            <w:r>
              <w:rPr>
                <w:sz w:val="20"/>
              </w:rPr>
              <w:t>Classification des zones ATEX</w:t>
            </w:r>
          </w:p>
        </w:tc>
        <w:tc>
          <w:tcPr>
            <w:tcW w:type="dxa" w:w="1361"/>
          </w:tcPr>
          <w:p>
            <w:r>
              <w:rPr>
                <w:sz w:val="20"/>
              </w:rPr>
            </w:r>
          </w:p>
        </w:tc>
      </w:tr>
      <w:tr>
        <w:tc>
          <w:tcPr>
            <w:tcW w:type="dxa" w:w="850"/>
            <w:shd w:val="clear" w:color="auto" w:fill="dbeafe"/>
          </w:tcPr>
          <w:p>
            <w:r>
              <w:rPr>
                <w:b/>
                <w:sz w:val="20"/>
              </w:rPr>
              <w:t>3</w:t>
            </w:r>
          </w:p>
        </w:tc>
        <w:tc>
          <w:tcPr>
            <w:tcW w:type="dxa" w:w="7654"/>
          </w:tcPr>
          <w:p>
            <w:r>
              <w:rPr>
                <w:sz w:val="20"/>
              </w:rPr>
              <w:t>Lecture des marquages Ex</w:t>
            </w:r>
          </w:p>
        </w:tc>
        <w:tc>
          <w:tcPr>
            <w:tcW w:type="dxa" w:w="1361"/>
          </w:tcPr>
          <w:p>
            <w:r>
              <w:rPr>
                <w:sz w:val="20"/>
              </w:rPr>
            </w:r>
          </w:p>
        </w:tc>
      </w:tr>
      <w:tr>
        <w:tc>
          <w:tcPr>
            <w:tcW w:type="dxa" w:w="850"/>
            <w:shd w:val="clear" w:color="auto" w:fill="dbeafe"/>
          </w:tcPr>
          <w:p>
            <w:r>
              <w:rPr>
                <w:b/>
                <w:sz w:val="20"/>
              </w:rPr>
              <w:t>4</w:t>
            </w:r>
          </w:p>
        </w:tc>
        <w:tc>
          <w:tcPr>
            <w:tcW w:type="dxa" w:w="7654"/>
          </w:tcPr>
          <w:p>
            <w:r>
              <w:rPr>
                <w:sz w:val="20"/>
              </w:rPr>
              <w:t>DRPCE et Autorisation de Travail</w:t>
            </w:r>
          </w:p>
        </w:tc>
        <w:tc>
          <w:tcPr>
            <w:tcW w:type="dxa" w:w="1361"/>
          </w:tcPr>
          <w:p>
            <w:r>
              <w:rPr>
                <w:sz w:val="20"/>
              </w:rPr>
            </w:r>
          </w:p>
        </w:tc>
      </w:tr>
      <w:tr>
        <w:tc>
          <w:tcPr>
            <w:tcW w:type="dxa" w:w="850"/>
            <w:shd w:val="clear" w:color="auto" w:fill="dbeafe"/>
          </w:tcPr>
          <w:p>
            <w:r>
              <w:rPr>
                <w:b/>
                <w:sz w:val="20"/>
              </w:rPr>
              <w:t>5</w:t>
            </w:r>
          </w:p>
        </w:tc>
        <w:tc>
          <w:tcPr>
            <w:tcW w:type="dxa" w:w="7654"/>
          </w:tcPr>
          <w:p>
            <w:r>
              <w:rPr>
                <w:sz w:val="20"/>
              </w:rPr>
              <w:t>L'explosimètre — utilisation et étalonnage</w:t>
            </w:r>
          </w:p>
        </w:tc>
        <w:tc>
          <w:tcPr>
            <w:tcW w:type="dxa" w:w="1361"/>
          </w:tcPr>
          <w:p>
            <w:r>
              <w:rPr>
                <w:sz w:val="20"/>
              </w:rPr>
            </w:r>
          </w:p>
        </w:tc>
      </w:tr>
      <w:tr>
        <w:tc>
          <w:tcPr>
            <w:tcW w:type="dxa" w:w="850"/>
            <w:shd w:val="clear" w:color="auto" w:fill="dbeafe"/>
          </w:tcPr>
          <w:p>
            <w:r>
              <w:rPr>
                <w:b/>
                <w:sz w:val="20"/>
              </w:rPr>
              <w:t>6</w:t>
            </w:r>
          </w:p>
        </w:tc>
        <w:tc>
          <w:tcPr>
            <w:tcW w:type="dxa" w:w="7654"/>
          </w:tcPr>
          <w:p>
            <w:r>
              <w:rPr>
                <w:sz w:val="20"/>
              </w:rPr>
              <w:t>EPI antistatiques — normes et port</w:t>
            </w:r>
          </w:p>
        </w:tc>
        <w:tc>
          <w:tcPr>
            <w:tcW w:type="dxa" w:w="1361"/>
          </w:tcPr>
          <w:p>
            <w:r>
              <w:rPr>
                <w:sz w:val="20"/>
              </w:rPr>
            </w:r>
          </w:p>
        </w:tc>
      </w:tr>
      <w:tr>
        <w:tc>
          <w:tcPr>
            <w:tcW w:type="dxa" w:w="850"/>
            <w:shd w:val="clear" w:color="auto" w:fill="dbeafe"/>
          </w:tcPr>
          <w:p>
            <w:r>
              <w:rPr>
                <w:b/>
                <w:sz w:val="20"/>
              </w:rPr>
              <w:t>7</w:t>
            </w:r>
          </w:p>
        </w:tc>
        <w:tc>
          <w:tcPr>
            <w:tcW w:type="dxa" w:w="7654"/>
          </w:tcPr>
          <w:p>
            <w:r>
              <w:rPr>
                <w:sz w:val="20"/>
              </w:rPr>
              <w:t>Outils et outillage en zone ATEX</w:t>
            </w:r>
          </w:p>
        </w:tc>
        <w:tc>
          <w:tcPr>
            <w:tcW w:type="dxa" w:w="1361"/>
          </w:tcPr>
          <w:p>
            <w:r>
              <w:rPr>
                <w:sz w:val="20"/>
              </w:rPr>
            </w:r>
          </w:p>
        </w:tc>
      </w:tr>
      <w:tr>
        <w:tc>
          <w:tcPr>
            <w:tcW w:type="dxa" w:w="850"/>
            <w:shd w:val="clear" w:color="auto" w:fill="dbeafe"/>
          </w:tcPr>
          <w:p>
            <w:r>
              <w:rPr>
                <w:b/>
                <w:sz w:val="20"/>
              </w:rPr>
              <w:t>8</w:t>
            </w:r>
          </w:p>
        </w:tc>
        <w:tc>
          <w:tcPr>
            <w:tcW w:type="dxa" w:w="7654"/>
          </w:tcPr>
          <w:p>
            <w:r>
              <w:rPr>
                <w:sz w:val="20"/>
              </w:rPr>
              <w:t>Maintenance et vérification des équipements Ex</w:t>
            </w:r>
          </w:p>
        </w:tc>
        <w:tc>
          <w:tcPr>
            <w:tcW w:type="dxa" w:w="1361"/>
          </w:tcPr>
          <w:p>
            <w:r>
              <w:rPr>
                <w:sz w:val="20"/>
              </w:rPr>
            </w:r>
          </w:p>
        </w:tc>
      </w:tr>
      <w:tr>
        <w:tc>
          <w:tcPr>
            <w:tcW w:type="dxa" w:w="850"/>
            <w:shd w:val="clear" w:color="auto" w:fill="dbeafe"/>
          </w:tcPr>
          <w:p>
            <w:r>
              <w:rPr>
                <w:b/>
                <w:sz w:val="20"/>
              </w:rPr>
              <w:t>9</w:t>
            </w:r>
          </w:p>
        </w:tc>
        <w:tc>
          <w:tcPr>
            <w:tcW w:type="dxa" w:w="7654"/>
          </w:tcPr>
          <w:p>
            <w:r>
              <w:rPr>
                <w:sz w:val="20"/>
              </w:rPr>
              <w:t>Conduite à tenir en urgence — PEAS</w:t>
            </w:r>
          </w:p>
        </w:tc>
        <w:tc>
          <w:tcPr>
            <w:tcW w:type="dxa" w:w="1361"/>
          </w:tcPr>
          <w:p>
            <w:r>
              <w:rPr>
                <w:sz w:val="20"/>
              </w:rPr>
            </w:r>
          </w:p>
        </w:tc>
      </w:tr>
      <w:tr>
        <w:tc>
          <w:tcPr>
            <w:tcW w:type="dxa" w:w="850"/>
            <w:shd w:val="clear" w:color="auto" w:fill="dbeafe"/>
          </w:tcPr>
          <w:p>
            <w:r>
              <w:rPr>
                <w:b/>
                <w:sz w:val="20"/>
              </w:rPr>
              <w:t>10</w:t>
            </w:r>
          </w:p>
        </w:tc>
        <w:tc>
          <w:tcPr>
            <w:tcW w:type="dxa" w:w="7654"/>
          </w:tcPr>
          <w:p>
            <w:r>
              <w:rPr>
                <w:sz w:val="20"/>
              </w:rPr>
              <w:t>Spécificités électriques ATEX</w:t>
            </w:r>
          </w:p>
        </w:tc>
        <w:tc>
          <w:tcPr>
            <w:tcW w:type="dxa" w:w="1361"/>
          </w:tcPr>
          <w:p>
            <w:r>
              <w:rPr>
                <w:sz w:val="20"/>
              </w:rPr>
            </w:r>
          </w:p>
        </w:tc>
      </w:tr>
      <w:tr>
        <w:tc>
          <w:tcPr>
            <w:tcW w:type="dxa" w:w="850"/>
            <w:shd w:val="clear" w:color="auto" w:fill="dbeafe"/>
          </w:tcPr>
          <w:p>
            <w:r>
              <w:rPr>
                <w:b/>
                <w:sz w:val="20"/>
              </w:rPr>
              <w:t>11</w:t>
            </w:r>
          </w:p>
        </w:tc>
        <w:tc>
          <w:tcPr>
            <w:tcW w:type="dxa" w:w="7654"/>
          </w:tcPr>
          <w:p>
            <w:r>
              <w:rPr>
                <w:sz w:val="20"/>
              </w:rPr>
              <w:t>Spécificités mécaniques ATEX</w:t>
            </w:r>
          </w:p>
        </w:tc>
        <w:tc>
          <w:tcPr>
            <w:tcW w:type="dxa" w:w="1361"/>
          </w:tcPr>
          <w:p>
            <w:r>
              <w:rPr>
                <w:sz w:val="20"/>
              </w:rPr>
            </w:r>
          </w:p>
        </w:tc>
      </w:tr>
      <w:tr>
        <w:tc>
          <w:tcPr>
            <w:tcW w:type="dxa" w:w="850"/>
            <w:shd w:val="clear" w:color="auto" w:fill="dbeafe"/>
          </w:tcPr>
          <w:p>
            <w:r>
              <w:rPr>
                <w:b/>
                <w:sz w:val="20"/>
              </w:rPr>
              <w:t>12</w:t>
            </w:r>
          </w:p>
        </w:tc>
        <w:tc>
          <w:tcPr>
            <w:tcW w:type="dxa" w:w="7654"/>
          </w:tcPr>
          <w:p>
            <w:r>
              <w:rPr>
                <w:sz w:val="20"/>
              </w:rPr>
              <w:t>Synthèse — Les règles de l'intervenant ATEX</w:t>
            </w:r>
          </w:p>
        </w:tc>
        <w:tc>
          <w:tcPr>
            <w:tcW w:type="dxa" w:w="1361"/>
          </w:tcPr>
          <w:p>
            <w:r>
              <w:rPr>
                <w:sz w:val="20"/>
              </w:rPr>
            </w:r>
          </w:p>
        </w:tc>
      </w:tr>
      <w:tr>
        <w:tc>
          <w:tcPr>
            <w:tcW w:type="dxa" w:w="850"/>
          </w:tcPr>
          <w:p>
            <w:r>
              <w:rPr>
                <w:b/>
                <w:sz w:val="20"/>
              </w:rPr>
            </w:r>
          </w:p>
        </w:tc>
        <w:tc>
          <w:tcPr>
            <w:tcW w:type="dxa" w:w="7654"/>
          </w:tcPr>
          <w:p>
            <w:r>
              <w:rPr>
                <w:sz w:val="20"/>
              </w:rPr>
              <w:t>QCM d'évaluation — 15 questions</w:t>
            </w:r>
          </w:p>
        </w:tc>
        <w:tc>
          <w:tcPr>
            <w:tcW w:type="dxa" w:w="1361"/>
          </w:tcPr>
          <w:p>
            <w:r>
              <w:rPr>
                <w:sz w:val="20"/>
              </w:rPr>
            </w:r>
          </w:p>
        </w:tc>
      </w:tr>
    </w:tbl>
    <w:p>
      <w:pPr>
        <w:pBdr>
          <w:bottom w:val="single" w:sz="4" w:color="CCCCCC"/>
        </w:pBdr>
        <w:spacing w:before="100" w:after="100"/>
      </w:pPr>
    </w:p>
    <w:p>
      <w:r>
        <w:br w:type="page"/>
      </w:r>
    </w:p>
    <w:p>
      <w:pPr>
        <w:shd w:val="clear" w:color="auto" w:fill="1a4e8c"/>
        <w:spacing w:before="200" w:after="100"/>
      </w:pPr>
      <w:r>
        <w:rPr>
          <w:b/>
          <w:color w:val="FFFFFF"/>
          <w:sz w:val="26"/>
        </w:rPr>
        <w:t>MODULE 1 — MÉCANISME DE L'EXPLOSION</w:t>
      </w:r>
    </w:p>
    <w:p>
      <w:pPr>
        <w:jc w:val="center"/>
      </w:pPr>
      <w:r>
        <w:drawing>
          <wp:inline xmlns:a="http://schemas.openxmlformats.org/drawingml/2006/main" xmlns:pic="http://schemas.openxmlformats.org/drawingml/2006/picture">
            <wp:extent cx="5040000" cy="2839858"/>
            <wp:docPr id="1" name="Picture 1"/>
            <wp:cNvGraphicFramePr>
              <a:graphicFrameLocks noChangeAspect="1"/>
            </wp:cNvGraphicFramePr>
            <a:graphic>
              <a:graphicData uri="http://schemas.openxmlformats.org/drawingml/2006/picture">
                <pic:pic>
                  <pic:nvPicPr>
                    <pic:cNvPr id="0" name="atex-formation-lie-lse.png"/>
                    <pic:cNvPicPr/>
                  </pic:nvPicPr>
                  <pic:blipFill>
                    <a:blip r:embed="rId9"/>
                    <a:stretch>
                      <a:fillRect/>
                    </a:stretch>
                  </pic:blipFill>
                  <pic:spPr>
                    <a:xfrm>
                      <a:off x="0" y="0"/>
                      <a:ext cx="5040000" cy="2839858"/>
                    </a:xfrm>
                    <a:prstGeom prst="rect"/>
                  </pic:spPr>
                </pic:pic>
              </a:graphicData>
            </a:graphic>
          </wp:inline>
        </w:drawing>
      </w:r>
    </w:p>
    <w:p>
      <w:pPr>
        <w:jc w:val="center"/>
      </w:pPr>
      <w:r>
        <w:rPr>
          <w:i/>
          <w:color w:val="888888"/>
          <w:sz w:val="18"/>
        </w:rPr>
        <w:t>Formation d'une ATEX : triangle du feu, domaine d'explosivité LIE/LSE — Source INERIS</w:t>
      </w:r>
    </w:p>
    <w:p>
      <w:pPr>
        <w:pBdr>
          <w:bottom w:val="single" w:sz="4" w:color="1a4e8c"/>
        </w:pBdr>
        <w:spacing w:before="160" w:after="80"/>
      </w:pPr>
      <w:r>
        <w:rPr>
          <w:b/>
          <w:color w:val="1A4E8C"/>
          <w:sz w:val="24"/>
        </w:rPr>
        <w:t>1.1 Définition — Atmosphère EXplosive (ATEX)</w:t>
      </w:r>
    </w:p>
    <w:p>
      <w:r>
        <w:rPr>
          <w:b w:val="0"/>
          <w:i w:val="0"/>
          <w:sz w:val="21"/>
        </w:rPr>
        <w:t>Une ATEX (Atmosphère Explosive) est un mélange avec l'air, dans des conditions atmosphériques, de substances inflammables (gaz, vapeurs, brouillards, poussières) sous forme de nuage qui, après inflammation, permet la propagation de la combustion.</w:t>
      </w:r>
    </w:p>
    <w:p>
      <w:r>
        <w:rPr>
          <w:b/>
          <w:i w:val="0"/>
          <w:sz w:val="21"/>
        </w:rPr>
        <w:t>⚠️ Distinction importante (INERIS Oméga 36, §1.2) :</w:t>
      </w:r>
    </w:p>
    <w:p>
      <w:pPr>
        <w:pStyle w:val="ListBullet"/>
        <w:spacing w:after="40"/>
      </w:pPr>
      <w:r>
        <w:rPr>
          <w:sz w:val="20"/>
        </w:rPr>
        <w:t>Atmosphère explosible : la concentration est entre LIE et LSE — les conditions chimiques sont réunies</w:t>
      </w:r>
    </w:p>
    <w:p>
      <w:pPr>
        <w:pStyle w:val="ListBullet"/>
        <w:spacing w:after="40"/>
      </w:pPr>
      <w:r>
        <w:rPr>
          <w:sz w:val="20"/>
        </w:rPr>
        <w:t>Atmosphère explosive : une source d'inflammation est ÉGALEMENT présente → explosion effective</w:t>
      </w:r>
    </w:p>
    <w:p>
      <w:pPr>
        <w:pBdr>
          <w:bottom w:val="single" w:sz="4" w:color="1a4e8c"/>
        </w:pBdr>
        <w:spacing w:before="160" w:after="80"/>
      </w:pPr>
      <w:r>
        <w:rPr>
          <w:b/>
          <w:color w:val="1A4E8C"/>
          <w:sz w:val="24"/>
        </w:rPr>
        <w:t>1.2 Les 6 conditions simultanées (hexagone ATEX)</w:t>
      </w:r>
    </w:p>
    <w:p>
      <w:pPr>
        <w:pStyle w:val="ListBullet"/>
        <w:spacing w:after="40"/>
      </w:pPr>
      <w:r>
        <w:rPr>
          <w:sz w:val="20"/>
        </w:rPr>
        <w:t>Présence d'un combustible (gaz, vapeur, brouillard, poussière inflammable)</w:t>
      </w:r>
    </w:p>
    <w:p>
      <w:pPr>
        <w:pStyle w:val="ListBullet"/>
        <w:spacing w:after="40"/>
      </w:pPr>
      <w:r>
        <w:rPr>
          <w:sz w:val="20"/>
        </w:rPr>
        <w:t>Présence de comburant (oxygène de l'air — minimum 2 à 12% selon le produit)</w:t>
      </w:r>
    </w:p>
    <w:p>
      <w:pPr>
        <w:pStyle w:val="ListBullet"/>
        <w:spacing w:after="40"/>
      </w:pPr>
      <w:r>
        <w:rPr>
          <w:sz w:val="20"/>
        </w:rPr>
        <w:t>Concentration du mélange entre LIE et LSE (domaine d'explosivité)</w:t>
      </w:r>
    </w:p>
    <w:p>
      <w:pPr>
        <w:pStyle w:val="ListBullet"/>
        <w:spacing w:after="40"/>
      </w:pPr>
      <w:r>
        <w:rPr>
          <w:sz w:val="20"/>
        </w:rPr>
        <w:t>Source d'inflammation ayant suffisamment d'énergie (étincelle, surface chaude, flamme...)</w:t>
      </w:r>
    </w:p>
    <w:p>
      <w:pPr>
        <w:pStyle w:val="ListBullet"/>
        <w:spacing w:after="40"/>
      </w:pPr>
      <w:r>
        <w:rPr>
          <w:sz w:val="20"/>
        </w:rPr>
        <w:t>Mélange suffisamment homogène</w:t>
      </w:r>
    </w:p>
    <w:p>
      <w:pPr>
        <w:pStyle w:val="ListBullet"/>
        <w:spacing w:after="40"/>
      </w:pPr>
      <w:r>
        <w:rPr>
          <w:sz w:val="20"/>
        </w:rPr>
        <w:t>Volume confiné ou semi-confiné (amplifie l'effet de pression)</w:t>
      </w:r>
    </w:p>
    <w:p>
      <w:pPr>
        <w:pBdr>
          <w:bottom w:val="single" w:sz="4" w:color="1a4e8c"/>
        </w:pBdr>
        <w:spacing w:before="160" w:after="80"/>
      </w:pPr>
      <w:r>
        <w:rPr>
          <w:b/>
          <w:color w:val="1A4E8C"/>
          <w:sz w:val="24"/>
        </w:rPr>
        <w:t>1.3 LIE et LSE — Le domaine d'explosivité</w:t>
      </w:r>
    </w:p>
    <w:tbl>
      <w:tblPr>
        <w:tblStyle w:val="TableGrid"/>
        <w:tblW w:type="auto" w:w="0"/>
        <w:jc w:val="center"/>
        <w:tblLook w:firstColumn="1" w:firstRow="1" w:lastColumn="0" w:lastRow="0" w:noHBand="0" w:noVBand="1" w:val="04A0"/>
      </w:tblPr>
      <w:tblGrid>
        <w:gridCol w:w="3213"/>
        <w:gridCol w:w="3213"/>
        <w:gridCol w:w="3213"/>
      </w:tblGrid>
      <w:tr>
        <w:tc>
          <w:tcPr>
            <w:tcW w:type="dxa" w:w="2551"/>
            <w:shd w:val="clear" w:color="auto" w:fill="1a4e8c"/>
          </w:tcPr>
          <w:p>
            <w:r>
              <w:rPr>
                <w:b/>
                <w:color w:val="FFFFFF"/>
                <w:sz w:val="20"/>
              </w:rPr>
            </w:r>
          </w:p>
        </w:tc>
        <w:tc>
          <w:tcPr>
            <w:tcW w:type="dxa" w:w="5102"/>
            <w:shd w:val="clear" w:color="auto" w:fill="1a4e8c"/>
          </w:tcPr>
          <w:p>
            <w:r>
              <w:rPr>
                <w:color w:val="FFFFFF"/>
                <w:sz w:val="20"/>
              </w:rPr>
              <w:t>Définition</w:t>
            </w:r>
          </w:p>
        </w:tc>
        <w:tc>
          <w:tcPr>
            <w:tcW w:type="dxa" w:w="2211"/>
            <w:shd w:val="clear" w:color="auto" w:fill="1a4e8c"/>
          </w:tcPr>
          <w:p>
            <w:r>
              <w:rPr>
                <w:color w:val="FFFFFF"/>
                <w:sz w:val="20"/>
              </w:rPr>
              <w:t>Exemple méthane</w:t>
            </w:r>
          </w:p>
        </w:tc>
      </w:tr>
      <w:tr>
        <w:tc>
          <w:tcPr>
            <w:tcW w:type="dxa" w:w="2551"/>
          </w:tcPr>
          <w:p>
            <w:r>
              <w:rPr>
                <w:b/>
                <w:sz w:val="20"/>
              </w:rPr>
              <w:t>LIE — Limite Inférieure d'Explosivité</w:t>
            </w:r>
          </w:p>
        </w:tc>
        <w:tc>
          <w:tcPr>
            <w:tcW w:type="dxa" w:w="5102"/>
          </w:tcPr>
          <w:p>
            <w:r>
              <w:rPr>
                <w:sz w:val="20"/>
              </w:rPr>
              <w:t>Concentration minimale combustible pour qu'une explosion soit possible</w:t>
            </w:r>
          </w:p>
        </w:tc>
        <w:tc>
          <w:tcPr>
            <w:tcW w:type="dxa" w:w="2211"/>
          </w:tcPr>
          <w:p>
            <w:r>
              <w:rPr>
                <w:sz w:val="20"/>
              </w:rPr>
              <w:t>5% vol.</w:t>
            </w:r>
          </w:p>
        </w:tc>
      </w:tr>
      <w:tr>
        <w:tc>
          <w:tcPr>
            <w:tcW w:type="dxa" w:w="2551"/>
          </w:tcPr>
          <w:p>
            <w:r>
              <w:rPr>
                <w:b/>
                <w:sz w:val="20"/>
              </w:rPr>
              <w:t>LSE — Limite Supérieure d'Explosivité</w:t>
            </w:r>
          </w:p>
        </w:tc>
        <w:tc>
          <w:tcPr>
            <w:tcW w:type="dxa" w:w="5102"/>
          </w:tcPr>
          <w:p>
            <w:r>
              <w:rPr>
                <w:sz w:val="20"/>
              </w:rPr>
              <w:t>Concentration maximale — au-delà, le mélange est trop riche pour exploser</w:t>
            </w:r>
          </w:p>
        </w:tc>
        <w:tc>
          <w:tcPr>
            <w:tcW w:type="dxa" w:w="2211"/>
          </w:tcPr>
          <w:p>
            <w:r>
              <w:rPr>
                <w:sz w:val="20"/>
              </w:rPr>
              <w:t>15% vol.</w:t>
            </w:r>
          </w:p>
        </w:tc>
      </w:tr>
    </w:tbl>
    <w:p>
      <w:pPr>
        <w:shd w:val="clear" w:color="auto" w:fill="dbeafe"/>
        <w:spacing w:before="80" w:after="80"/>
        <w:ind w:left="170"/>
      </w:pPr>
      <w:r>
        <w:rPr>
          <w:b/>
          <w:sz w:val="20"/>
        </w:rPr>
        <w:t>Points clés à retenir</w:t>
      </w:r>
    </w:p>
    <w:p>
      <w:pPr>
        <w:pStyle w:val="ListBullet"/>
        <w:spacing w:after="40"/>
      </w:pPr>
      <w:r>
        <w:rPr>
          <w:sz w:val="20"/>
        </w:rPr>
        <w:t>La concentration du mélange doit être ENTRE LIE et LSE pour que l'explosion soit possible</w:t>
      </w:r>
    </w:p>
    <w:p>
      <w:pPr>
        <w:pStyle w:val="ListBullet"/>
        <w:spacing w:after="40"/>
      </w:pPr>
      <w:r>
        <w:rPr>
          <w:sz w:val="20"/>
        </w:rPr>
        <w:t>En dessous de la LIE : mélange trop pauvre — pas d'explosion</w:t>
      </w:r>
    </w:p>
    <w:p>
      <w:pPr>
        <w:pStyle w:val="ListBullet"/>
        <w:spacing w:after="40"/>
      </w:pPr>
      <w:r>
        <w:rPr>
          <w:sz w:val="20"/>
        </w:rPr>
        <w:t>Au-dessus de la LSE : mélange trop riche — pas d'explosion (mais toxicité possible)</w:t>
      </w:r>
    </w:p>
    <w:p>
      <w:pPr>
        <w:pStyle w:val="ListBullet"/>
        <w:spacing w:after="40"/>
      </w:pPr>
      <w:r>
        <w:rPr>
          <w:sz w:val="20"/>
        </w:rPr>
        <w:t>Alarme explosimètre = 20% de la LIE — large marge de sécurité avant le danger</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r>
        <w:br w:type="page"/>
      </w:r>
    </w:p>
    <w:p>
      <w:pPr>
        <w:shd w:val="clear" w:color="auto" w:fill="1a4e8c"/>
        <w:spacing w:before="200" w:after="100"/>
      </w:pPr>
      <w:r>
        <w:rPr>
          <w:b/>
          <w:color w:val="FFFFFF"/>
          <w:sz w:val="26"/>
        </w:rPr>
        <w:t>MODULE 2 — CLASSIFICATION DES ZONES ATEX</w:t>
      </w:r>
    </w:p>
    <w:p>
      <w:pPr>
        <w:jc w:val="center"/>
      </w:pPr>
      <w:r>
        <w:drawing>
          <wp:inline xmlns:a="http://schemas.openxmlformats.org/drawingml/2006/main" xmlns:pic="http://schemas.openxmlformats.org/drawingml/2006/picture">
            <wp:extent cx="4320000" cy="1961280"/>
            <wp:docPr id="2" name="Picture 2"/>
            <wp:cNvGraphicFramePr>
              <a:graphicFrameLocks noChangeAspect="1"/>
            </wp:cNvGraphicFramePr>
            <a:graphic>
              <a:graphicData uri="http://schemas.openxmlformats.org/drawingml/2006/picture">
                <pic:pic>
                  <pic:nvPicPr>
                    <pic:cNvPr id="0" name="atex-classification-zones-cercle.png"/>
                    <pic:cNvPicPr/>
                  </pic:nvPicPr>
                  <pic:blipFill>
                    <a:blip r:embed="rId10"/>
                    <a:stretch>
                      <a:fillRect/>
                    </a:stretch>
                  </pic:blipFill>
                  <pic:spPr>
                    <a:xfrm>
                      <a:off x="0" y="0"/>
                      <a:ext cx="4320000" cy="1961280"/>
                    </a:xfrm>
                    <a:prstGeom prst="rect"/>
                  </pic:spPr>
                </pic:pic>
              </a:graphicData>
            </a:graphic>
          </wp:inline>
        </w:drawing>
      </w:r>
    </w:p>
    <w:p>
      <w:pPr>
        <w:jc w:val="center"/>
      </w:pPr>
      <w:r>
        <w:rPr>
          <w:i/>
          <w:color w:val="888888"/>
          <w:sz w:val="18"/>
        </w:rPr>
        <w:t>Classification des zones ATEX — gaz/vapeurs/poussières : zones 0-1-2 et 20-21-22</w:t>
      </w:r>
    </w:p>
    <w:p>
      <w:pPr>
        <w:pBdr>
          <w:bottom w:val="single" w:sz="4" w:color="1a4e8c"/>
        </w:pBdr>
        <w:spacing w:before="160" w:after="80"/>
      </w:pPr>
      <w:r>
        <w:rPr>
          <w:b/>
          <w:color w:val="1A4E8C"/>
          <w:sz w:val="24"/>
        </w:rPr>
        <w:t>2.1 Zones gaz / vapeurs / brouillards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1a4e8c"/>
          </w:tcPr>
          <w:p>
            <w:r>
              <w:rPr>
                <w:b/>
                <w:color w:val="FFFFFF"/>
                <w:sz w:val="20"/>
              </w:rPr>
              <w:t>Zone</w:t>
            </w:r>
          </w:p>
        </w:tc>
        <w:tc>
          <w:tcPr>
            <w:tcW w:type="dxa" w:w="5669"/>
            <w:shd w:val="clear" w:color="auto" w:fill="1a4e8c"/>
          </w:tcPr>
          <w:p>
            <w:r>
              <w:rPr>
                <w:b/>
                <w:color w:val="FFFFFF"/>
                <w:sz w:val="20"/>
              </w:rPr>
              <w:t>Fréquence de présence ATEX</w:t>
            </w:r>
          </w:p>
        </w:tc>
        <w:tc>
          <w:tcPr>
            <w:tcW w:type="dxa" w:w="2494"/>
            <w:shd w:val="clear" w:color="auto" w:fill="1a4e8c"/>
          </w:tcPr>
          <w:p>
            <w:r>
              <w:rPr>
                <w:b/>
                <w:color w:val="FFFFFF"/>
                <w:sz w:val="20"/>
              </w:rPr>
              <w:t>Catégorie équipement requise</w:t>
            </w:r>
          </w:p>
        </w:tc>
      </w:tr>
      <w:tr>
        <w:tc>
          <w:tcPr>
            <w:tcW w:type="dxa" w:w="1701"/>
          </w:tcPr>
          <w:p>
            <w:r>
              <w:rPr>
                <w:b/>
                <w:sz w:val="20"/>
              </w:rPr>
              <w:t>Zone 0</w:t>
            </w:r>
          </w:p>
        </w:tc>
        <w:tc>
          <w:tcPr>
            <w:tcW w:type="dxa" w:w="5669"/>
          </w:tcPr>
          <w:p>
            <w:r>
              <w:rPr>
                <w:b w:val="0"/>
                <w:sz w:val="20"/>
              </w:rPr>
              <w:t>Présence permanente ou prolongée (intérieur cuves, silos)</w:t>
            </w:r>
          </w:p>
        </w:tc>
        <w:tc>
          <w:tcPr>
            <w:tcW w:type="dxa" w:w="2494"/>
          </w:tcPr>
          <w:p>
            <w:r>
              <w:rPr>
                <w:b w:val="0"/>
                <w:sz w:val="20"/>
              </w:rPr>
              <w:t>Catégorie 1G</w:t>
            </w:r>
          </w:p>
        </w:tc>
      </w:tr>
      <w:tr>
        <w:tc>
          <w:tcPr>
            <w:tcW w:type="dxa" w:w="1701"/>
          </w:tcPr>
          <w:p>
            <w:r>
              <w:rPr>
                <w:b/>
                <w:sz w:val="20"/>
              </w:rPr>
              <w:t>Zone 1</w:t>
            </w:r>
          </w:p>
        </w:tc>
        <w:tc>
          <w:tcPr>
            <w:tcW w:type="dxa" w:w="5669"/>
          </w:tcPr>
          <w:p>
            <w:r>
              <w:rPr>
                <w:b w:val="0"/>
                <w:sz w:val="20"/>
              </w:rPr>
              <w:t>Présence occasionnelle en fonctionnement normal</w:t>
            </w:r>
          </w:p>
        </w:tc>
        <w:tc>
          <w:tcPr>
            <w:tcW w:type="dxa" w:w="2494"/>
          </w:tcPr>
          <w:p>
            <w:r>
              <w:rPr>
                <w:b w:val="0"/>
                <w:sz w:val="20"/>
              </w:rPr>
              <w:t>Catégorie 2G (ou 1G)</w:t>
            </w:r>
          </w:p>
        </w:tc>
      </w:tr>
      <w:tr>
        <w:tc>
          <w:tcPr>
            <w:tcW w:type="dxa" w:w="1701"/>
          </w:tcPr>
          <w:p>
            <w:r>
              <w:rPr>
                <w:b/>
                <w:sz w:val="20"/>
              </w:rPr>
              <w:t>Zone 2</w:t>
            </w:r>
          </w:p>
        </w:tc>
        <w:tc>
          <w:tcPr>
            <w:tcW w:type="dxa" w:w="5669"/>
          </w:tcPr>
          <w:p>
            <w:r>
              <w:rPr>
                <w:b w:val="0"/>
                <w:sz w:val="20"/>
              </w:rPr>
              <w:t>Présence exceptionnelle — seulement en cas d'anomalie</w:t>
            </w:r>
          </w:p>
        </w:tc>
        <w:tc>
          <w:tcPr>
            <w:tcW w:type="dxa" w:w="2494"/>
          </w:tcPr>
          <w:p>
            <w:r>
              <w:rPr>
                <w:b w:val="0"/>
                <w:sz w:val="20"/>
              </w:rPr>
              <w:t>Catégorie 3G (ou 2G/1G)</w:t>
            </w:r>
          </w:p>
        </w:tc>
      </w:tr>
    </w:tbl>
    <w:p>
      <w:pPr>
        <w:pBdr>
          <w:bottom w:val="single" w:sz="4" w:color="1a4e8c"/>
        </w:pBdr>
        <w:spacing w:before="160" w:after="80"/>
      </w:pPr>
      <w:r>
        <w:rPr>
          <w:b/>
          <w:color w:val="1A4E8C"/>
          <w:sz w:val="24"/>
        </w:rPr>
        <w:t>2.2 Zones poussières combustibles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1a4e8c"/>
          </w:tcPr>
          <w:p>
            <w:r>
              <w:rPr>
                <w:b/>
                <w:color w:val="FFFFFF"/>
                <w:sz w:val="20"/>
              </w:rPr>
              <w:t>Zone</w:t>
            </w:r>
          </w:p>
        </w:tc>
        <w:tc>
          <w:tcPr>
            <w:tcW w:type="dxa" w:w="5669"/>
            <w:shd w:val="clear" w:color="auto" w:fill="1a4e8c"/>
          </w:tcPr>
          <w:p>
            <w:r>
              <w:rPr>
                <w:b/>
                <w:color w:val="FFFFFF"/>
                <w:sz w:val="20"/>
              </w:rPr>
              <w:t>Fréquence de présence ATEX</w:t>
            </w:r>
          </w:p>
        </w:tc>
        <w:tc>
          <w:tcPr>
            <w:tcW w:type="dxa" w:w="2494"/>
            <w:shd w:val="clear" w:color="auto" w:fill="1a4e8c"/>
          </w:tcPr>
          <w:p>
            <w:r>
              <w:rPr>
                <w:b/>
                <w:color w:val="FFFFFF"/>
                <w:sz w:val="20"/>
              </w:rPr>
              <w:t>Catégorie équipement requise</w:t>
            </w:r>
          </w:p>
        </w:tc>
      </w:tr>
      <w:tr>
        <w:tc>
          <w:tcPr>
            <w:tcW w:type="dxa" w:w="1701"/>
          </w:tcPr>
          <w:p>
            <w:r>
              <w:rPr>
                <w:b/>
                <w:sz w:val="20"/>
              </w:rPr>
              <w:t>Zone 20</w:t>
            </w:r>
          </w:p>
        </w:tc>
        <w:tc>
          <w:tcPr>
            <w:tcW w:type="dxa" w:w="5669"/>
          </w:tcPr>
          <w:p>
            <w:r>
              <w:rPr>
                <w:b w:val="0"/>
                <w:sz w:val="20"/>
              </w:rPr>
              <w:t>Présence permanente (intérieur broyeurs, silos)</w:t>
            </w:r>
          </w:p>
        </w:tc>
        <w:tc>
          <w:tcPr>
            <w:tcW w:type="dxa" w:w="2494"/>
          </w:tcPr>
          <w:p>
            <w:r>
              <w:rPr>
                <w:b w:val="0"/>
                <w:sz w:val="20"/>
              </w:rPr>
              <w:t>Catégorie 1D</w:t>
            </w:r>
          </w:p>
        </w:tc>
      </w:tr>
      <w:tr>
        <w:tc>
          <w:tcPr>
            <w:tcW w:type="dxa" w:w="1701"/>
          </w:tcPr>
          <w:p>
            <w:r>
              <w:rPr>
                <w:b/>
                <w:sz w:val="20"/>
              </w:rPr>
              <w:t>Zone 21</w:t>
            </w:r>
          </w:p>
        </w:tc>
        <w:tc>
          <w:tcPr>
            <w:tcW w:type="dxa" w:w="5669"/>
          </w:tcPr>
          <w:p>
            <w:r>
              <w:rPr>
                <w:b w:val="0"/>
                <w:sz w:val="20"/>
              </w:rPr>
              <w:t>Présence occasionnelle en fonctionnement normal</w:t>
            </w:r>
          </w:p>
        </w:tc>
        <w:tc>
          <w:tcPr>
            <w:tcW w:type="dxa" w:w="2494"/>
          </w:tcPr>
          <w:p>
            <w:r>
              <w:rPr>
                <w:b w:val="0"/>
                <w:sz w:val="20"/>
              </w:rPr>
              <w:t>Catégorie 2D (ou 1D)</w:t>
            </w:r>
          </w:p>
        </w:tc>
      </w:tr>
      <w:tr>
        <w:tc>
          <w:tcPr>
            <w:tcW w:type="dxa" w:w="1701"/>
          </w:tcPr>
          <w:p>
            <w:r>
              <w:rPr>
                <w:b/>
                <w:sz w:val="20"/>
              </w:rPr>
              <w:t>Zone 22</w:t>
            </w:r>
          </w:p>
        </w:tc>
        <w:tc>
          <w:tcPr>
            <w:tcW w:type="dxa" w:w="5669"/>
          </w:tcPr>
          <w:p>
            <w:r>
              <w:rPr>
                <w:b w:val="0"/>
                <w:sz w:val="20"/>
              </w:rPr>
              <w:t>Présence exceptionnelle — anomalie ou nettoyage</w:t>
            </w:r>
          </w:p>
        </w:tc>
        <w:tc>
          <w:tcPr>
            <w:tcW w:type="dxa" w:w="2494"/>
          </w:tcPr>
          <w:p>
            <w:r>
              <w:rPr>
                <w:b w:val="0"/>
                <w:sz w:val="20"/>
              </w:rPr>
              <w:t>Catégorie 3D (ou 2D/1D)</w:t>
            </w:r>
          </w:p>
        </w:tc>
      </w:tr>
    </w:tbl>
    <w:p>
      <w:pPr>
        <w:jc w:val="center"/>
      </w:pPr>
      <w:r>
        <w:drawing>
          <wp:inline xmlns:a="http://schemas.openxmlformats.org/drawingml/2006/main" xmlns:pic="http://schemas.openxmlformats.org/drawingml/2006/picture">
            <wp:extent cx="5040000" cy="3515400"/>
            <wp:docPr id="3" name="Picture 3"/>
            <wp:cNvGraphicFramePr>
              <a:graphicFrameLocks noChangeAspect="1"/>
            </wp:cNvGraphicFramePr>
            <a:graphic>
              <a:graphicData uri="http://schemas.openxmlformats.org/drawingml/2006/picture">
                <pic:pic>
                  <pic:nvPicPr>
                    <pic:cNvPr id="0" name="atex-schema-zones-atelier-bois.png"/>
                    <pic:cNvPicPr/>
                  </pic:nvPicPr>
                  <pic:blipFill>
                    <a:blip r:embed="rId11"/>
                    <a:stretch>
                      <a:fillRect/>
                    </a:stretch>
                  </pic:blipFill>
                  <pic:spPr>
                    <a:xfrm>
                      <a:off x="0" y="0"/>
                      <a:ext cx="5040000" cy="3515400"/>
                    </a:xfrm>
                    <a:prstGeom prst="rect"/>
                  </pic:spPr>
                </pic:pic>
              </a:graphicData>
            </a:graphic>
          </wp:inline>
        </w:drawing>
      </w:r>
    </w:p>
    <w:p>
      <w:pPr>
        <w:jc w:val="center"/>
      </w:pPr>
      <w:r>
        <w:rPr>
          <w:i/>
          <w:color w:val="888888"/>
          <w:sz w:val="18"/>
        </w:rPr>
        <w:t>Exemple de zonage ATEX poussières en atelier bois — zones 20/21/22 autour des machines et du silo d'aspiration</w:t>
      </w:r>
    </w:p>
    <w:p>
      <w:pPr>
        <w:shd w:val="clear" w:color="auto" w:fill="dbeafe"/>
        <w:spacing w:before="80" w:after="80"/>
        <w:ind w:left="170"/>
      </w:pPr>
      <w:r>
        <w:rPr>
          <w:b/>
          <w:sz w:val="20"/>
        </w:rPr>
        <w:t>Points clés à retenir</w:t>
      </w:r>
    </w:p>
    <w:p>
      <w:pPr>
        <w:pStyle w:val="ListBullet"/>
        <w:spacing w:after="40"/>
      </w:pPr>
      <w:r>
        <w:rPr>
          <w:sz w:val="20"/>
        </w:rPr>
        <w:t>Zone 0/20 → catégorie 1G/1D | Zone 1/21 → 2G/2D | Zone 2/22 → 3G/3D</w:t>
      </w:r>
    </w:p>
    <w:p>
      <w:pPr>
        <w:pStyle w:val="ListBullet"/>
        <w:spacing w:after="40"/>
      </w:pPr>
      <w:r>
        <w:rPr>
          <w:sz w:val="20"/>
        </w:rPr>
        <w:t>Couches et dépôts de poussières = source ATEX même sans nuage visible</w:t>
      </w:r>
    </w:p>
    <w:p>
      <w:pPr>
        <w:pStyle w:val="ListBullet"/>
        <w:spacing w:after="40"/>
      </w:pPr>
      <w:r>
        <w:rPr>
          <w:sz w:val="20"/>
        </w:rPr>
        <w:t>Maintenance = zonage temporaire spécifique à identifier avant d'intervenir</w:t>
      </w:r>
    </w:p>
    <w:p>
      <w:pPr>
        <w:pStyle w:val="ListBullet"/>
        <w:spacing w:after="40"/>
      </w:pPr>
      <w:r>
        <w:rPr>
          <w:sz w:val="20"/>
        </w:rPr>
        <w:t>Tout intervenant doit connaître la classification exacte de la zone avant d'entrer</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r>
        <w:br w:type="page"/>
      </w:r>
    </w:p>
    <w:p>
      <w:pPr>
        <w:shd w:val="clear" w:color="auto" w:fill="1a4e8c"/>
        <w:spacing w:before="200" w:after="100"/>
      </w:pPr>
      <w:r>
        <w:rPr>
          <w:b/>
          <w:color w:val="FFFFFF"/>
          <w:sz w:val="26"/>
        </w:rPr>
        <w:t>MODULE 3 — LECTURE DES MARQUAGES Ex</w:t>
      </w:r>
    </w:p>
    <w:p>
      <w:pPr>
        <w:jc w:val="center"/>
      </w:pPr>
      <w:r>
        <w:drawing>
          <wp:inline xmlns:a="http://schemas.openxmlformats.org/drawingml/2006/main" xmlns:pic="http://schemas.openxmlformats.org/drawingml/2006/picture">
            <wp:extent cx="5040000" cy="2365917"/>
            <wp:docPr id="4" name="Picture 4"/>
            <wp:cNvGraphicFramePr>
              <a:graphicFrameLocks noChangeAspect="1"/>
            </wp:cNvGraphicFramePr>
            <a:graphic>
              <a:graphicData uri="http://schemas.openxmlformats.org/drawingml/2006/picture">
                <pic:pic>
                  <pic:nvPicPr>
                    <pic:cNvPr id="0" name="atex-exemple-marquage-label.png"/>
                    <pic:cNvPicPr/>
                  </pic:nvPicPr>
                  <pic:blipFill>
                    <a:blip r:embed="rId12"/>
                    <a:stretch>
                      <a:fillRect/>
                    </a:stretch>
                  </pic:blipFill>
                  <pic:spPr>
                    <a:xfrm>
                      <a:off x="0" y="0"/>
                      <a:ext cx="5040000" cy="2365917"/>
                    </a:xfrm>
                    <a:prstGeom prst="rect"/>
                  </pic:spPr>
                </pic:pic>
              </a:graphicData>
            </a:graphic>
          </wp:inline>
        </w:drawing>
      </w:r>
    </w:p>
    <w:p>
      <w:pPr>
        <w:jc w:val="center"/>
      </w:pPr>
      <w:r>
        <w:rPr>
          <w:i/>
          <w:color w:val="888888"/>
          <w:sz w:val="18"/>
        </w:rPr>
        <w:t>Exemple réel d'étiquette ATEX annotée : II 2G Ex ib IIC T4 Gb / II 2D Ex ib IIIC T135°C Db IP64</w:t>
      </w:r>
    </w:p>
    <w:p>
      <w:pPr>
        <w:pBdr>
          <w:bottom w:val="single" w:sz="4" w:color="1a4e8c"/>
        </w:pBdr>
        <w:spacing w:before="160" w:after="80"/>
      </w:pPr>
      <w:r>
        <w:rPr>
          <w:b/>
          <w:color w:val="1A4E8C"/>
          <w:sz w:val="24"/>
        </w:rPr>
        <w:t>3.1 Décoder un marquage Ex — Exemple complet</w:t>
      </w:r>
    </w:p>
    <w:p>
      <w:r>
        <w:rPr>
          <w:b/>
          <w:i w:val="0"/>
          <w:sz w:val="21"/>
        </w:rPr>
        <w:t>Marquage exemple : II 2G Ex ib IIC T4 Gb</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color="auto" w:fill="1a4e8c"/>
          </w:tcPr>
          <w:p>
            <w:r>
              <w:rPr>
                <w:b/>
                <w:color w:val="FFFFFF"/>
                <w:sz w:val="20"/>
              </w:rPr>
              <w:t>Élément</w:t>
            </w:r>
          </w:p>
        </w:tc>
        <w:tc>
          <w:tcPr>
            <w:tcW w:type="dxa" w:w="1984"/>
            <w:shd w:val="clear" w:color="auto" w:fill="1a4e8c"/>
          </w:tcPr>
          <w:p>
            <w:r>
              <w:rPr>
                <w:b/>
                <w:color w:val="FFFFFF"/>
                <w:sz w:val="20"/>
              </w:rPr>
              <w:t>Valeur exemple</w:t>
            </w:r>
          </w:p>
        </w:tc>
        <w:tc>
          <w:tcPr>
            <w:tcW w:type="dxa" w:w="5669"/>
            <w:shd w:val="clear" w:color="auto" w:fill="1a4e8c"/>
          </w:tcPr>
          <w:p>
            <w:r>
              <w:rPr>
                <w:b/>
                <w:color w:val="FFFFFF"/>
                <w:sz w:val="20"/>
              </w:rPr>
              <w:t>Signification</w:t>
            </w:r>
          </w:p>
        </w:tc>
      </w:tr>
      <w:tr>
        <w:tc>
          <w:tcPr>
            <w:tcW w:type="dxa" w:w="2268"/>
          </w:tcPr>
          <w:p>
            <w:r>
              <w:rPr>
                <w:b/>
                <w:sz w:val="20"/>
              </w:rPr>
              <w:t>Groupe</w:t>
            </w:r>
          </w:p>
        </w:tc>
        <w:tc>
          <w:tcPr>
            <w:tcW w:type="dxa" w:w="1984"/>
          </w:tcPr>
          <w:p>
            <w:r>
              <w:rPr>
                <w:b w:val="0"/>
                <w:sz w:val="20"/>
              </w:rPr>
              <w:t>II</w:t>
            </w:r>
          </w:p>
        </w:tc>
        <w:tc>
          <w:tcPr>
            <w:tcW w:type="dxa" w:w="5669"/>
          </w:tcPr>
          <w:p>
            <w:r>
              <w:rPr>
                <w:b w:val="0"/>
                <w:sz w:val="20"/>
              </w:rPr>
              <w:t>Industrie de surface (I = mines grisouteuses)</w:t>
            </w:r>
          </w:p>
        </w:tc>
      </w:tr>
      <w:tr>
        <w:tc>
          <w:tcPr>
            <w:tcW w:type="dxa" w:w="2268"/>
          </w:tcPr>
          <w:p>
            <w:r>
              <w:rPr>
                <w:b/>
                <w:sz w:val="20"/>
              </w:rPr>
              <w:t>Catégorie</w:t>
            </w:r>
          </w:p>
        </w:tc>
        <w:tc>
          <w:tcPr>
            <w:tcW w:type="dxa" w:w="1984"/>
          </w:tcPr>
          <w:p>
            <w:r>
              <w:rPr>
                <w:b w:val="0"/>
                <w:sz w:val="20"/>
              </w:rPr>
              <w:t>2G</w:t>
            </w:r>
          </w:p>
        </w:tc>
        <w:tc>
          <w:tcPr>
            <w:tcW w:type="dxa" w:w="5669"/>
          </w:tcPr>
          <w:p>
            <w:r>
              <w:rPr>
                <w:b w:val="0"/>
                <w:sz w:val="20"/>
              </w:rPr>
              <w:t>Catégorie 2, atmosphère gazeuse → Zone 1</w:t>
            </w:r>
          </w:p>
        </w:tc>
      </w:tr>
      <w:tr>
        <w:tc>
          <w:tcPr>
            <w:tcW w:type="dxa" w:w="2268"/>
          </w:tcPr>
          <w:p>
            <w:r>
              <w:rPr>
                <w:b/>
                <w:sz w:val="20"/>
              </w:rPr>
              <w:t>Marquage Ex</w:t>
            </w:r>
          </w:p>
        </w:tc>
        <w:tc>
          <w:tcPr>
            <w:tcW w:type="dxa" w:w="1984"/>
          </w:tcPr>
          <w:p>
            <w:r>
              <w:rPr>
                <w:b w:val="0"/>
                <w:sz w:val="20"/>
              </w:rPr>
              <w:t>Ex</w:t>
            </w:r>
          </w:p>
        </w:tc>
        <w:tc>
          <w:tcPr>
            <w:tcW w:type="dxa" w:w="5669"/>
          </w:tcPr>
          <w:p>
            <w:r>
              <w:rPr>
                <w:b w:val="0"/>
                <w:sz w:val="20"/>
              </w:rPr>
              <w:t>Conforme aux normes Ex (série IEC 60079)</w:t>
            </w:r>
          </w:p>
        </w:tc>
      </w:tr>
      <w:tr>
        <w:tc>
          <w:tcPr>
            <w:tcW w:type="dxa" w:w="2268"/>
          </w:tcPr>
          <w:p>
            <w:r>
              <w:rPr>
                <w:b/>
                <w:sz w:val="20"/>
              </w:rPr>
              <w:t>Mode de protection</w:t>
            </w:r>
          </w:p>
        </w:tc>
        <w:tc>
          <w:tcPr>
            <w:tcW w:type="dxa" w:w="1984"/>
          </w:tcPr>
          <w:p>
            <w:r>
              <w:rPr>
                <w:b w:val="0"/>
                <w:sz w:val="20"/>
              </w:rPr>
              <w:t>ib</w:t>
            </w:r>
          </w:p>
        </w:tc>
        <w:tc>
          <w:tcPr>
            <w:tcW w:type="dxa" w:w="5669"/>
          </w:tcPr>
          <w:p>
            <w:r>
              <w:rPr>
                <w:b w:val="0"/>
                <w:sz w:val="20"/>
              </w:rPr>
              <w:t>Sécurité intrinsèque niveau b</w:t>
            </w:r>
          </w:p>
        </w:tc>
      </w:tr>
      <w:tr>
        <w:tc>
          <w:tcPr>
            <w:tcW w:type="dxa" w:w="2268"/>
          </w:tcPr>
          <w:p>
            <w:r>
              <w:rPr>
                <w:b/>
                <w:sz w:val="20"/>
              </w:rPr>
              <w:t>Groupe de gaz</w:t>
            </w:r>
          </w:p>
        </w:tc>
        <w:tc>
          <w:tcPr>
            <w:tcW w:type="dxa" w:w="1984"/>
          </w:tcPr>
          <w:p>
            <w:r>
              <w:rPr>
                <w:b w:val="0"/>
                <w:sz w:val="20"/>
              </w:rPr>
              <w:t>IIC</w:t>
            </w:r>
          </w:p>
        </w:tc>
        <w:tc>
          <w:tcPr>
            <w:tcW w:type="dxa" w:w="5669"/>
          </w:tcPr>
          <w:p>
            <w:r>
              <w:rPr>
                <w:b w:val="0"/>
                <w:sz w:val="20"/>
              </w:rPr>
              <w:t>Groupe le plus dangereux : H₂, acétylène, CS₂</w:t>
            </w:r>
          </w:p>
        </w:tc>
      </w:tr>
      <w:tr>
        <w:tc>
          <w:tcPr>
            <w:tcW w:type="dxa" w:w="2268"/>
          </w:tcPr>
          <w:p>
            <w:r>
              <w:rPr>
                <w:b/>
                <w:sz w:val="20"/>
              </w:rPr>
              <w:t>Classe température</w:t>
            </w:r>
          </w:p>
        </w:tc>
        <w:tc>
          <w:tcPr>
            <w:tcW w:type="dxa" w:w="1984"/>
          </w:tcPr>
          <w:p>
            <w:r>
              <w:rPr>
                <w:b w:val="0"/>
                <w:sz w:val="20"/>
              </w:rPr>
              <w:t>T4</w:t>
            </w:r>
          </w:p>
        </w:tc>
        <w:tc>
          <w:tcPr>
            <w:tcW w:type="dxa" w:w="5669"/>
          </w:tcPr>
          <w:p>
            <w:r>
              <w:rPr>
                <w:b w:val="0"/>
                <w:sz w:val="20"/>
              </w:rPr>
              <w:t>Surface max. 135°C (T1=450°C, T2=300°C, T3=200°C, T4=135°C, T5=100°C, T6=85°C)</w:t>
            </w:r>
          </w:p>
        </w:tc>
      </w:tr>
    </w:tbl>
    <w:p>
      <w:pPr>
        <w:pBdr>
          <w:bottom w:val="single" w:sz="4" w:color="1a4e8c"/>
        </w:pBdr>
        <w:spacing w:before="160" w:after="80"/>
      </w:pPr>
      <w:r>
        <w:rPr>
          <w:b/>
          <w:color w:val="1A4E8C"/>
          <w:sz w:val="24"/>
        </w:rPr>
        <w:t>3.2 Compatibilité des catégories et des groupes</w:t>
      </w:r>
    </w:p>
    <w:p>
      <w:pPr>
        <w:pStyle w:val="ListBullet"/>
        <w:spacing w:after="40"/>
      </w:pPr>
      <w:r>
        <w:rPr>
          <w:sz w:val="20"/>
        </w:rPr>
        <w:t>Une catégorie supérieure est toujours utilisable dans une zone de niveau inférieur (ex. 1G en Zone 2 = autorisé)</w:t>
      </w:r>
    </w:p>
    <w:p>
      <w:pPr>
        <w:pStyle w:val="ListBullet"/>
        <w:spacing w:after="40"/>
      </w:pPr>
      <w:r>
        <w:rPr>
          <w:sz w:val="20"/>
        </w:rPr>
        <w:t>Un groupe supérieur couvre les groupes inférieurs : IIC ⊃ IIB ⊃ IIA</w:t>
      </w:r>
    </w:p>
    <w:p>
      <w:pPr>
        <w:pStyle w:val="ListBullet"/>
        <w:spacing w:after="40"/>
      </w:pPr>
      <w:r>
        <w:rPr>
          <w:sz w:val="20"/>
        </w:rPr>
        <w:t>La classe de température doit être inférieure à la TAI du produit présent</w:t>
      </w:r>
    </w:p>
    <w:p>
      <w:pPr>
        <w:shd w:val="clear" w:color="auto" w:fill="dbeafe"/>
        <w:spacing w:before="80" w:after="80"/>
        <w:ind w:left="170"/>
      </w:pPr>
      <w:r>
        <w:rPr>
          <w:b/>
          <w:sz w:val="20"/>
        </w:rPr>
        <w:t>Points clés à retenir</w:t>
      </w:r>
    </w:p>
    <w:p>
      <w:pPr>
        <w:pStyle w:val="ListBullet"/>
        <w:spacing w:after="40"/>
      </w:pPr>
      <w:r>
        <w:rPr>
          <w:sz w:val="20"/>
        </w:rPr>
        <w:t>II 2G → Zone 1 gaz | II 2D → Zone 21 poussières | II 1G → Zone 0</w:t>
      </w:r>
    </w:p>
    <w:p>
      <w:pPr>
        <w:pStyle w:val="ListBullet"/>
        <w:spacing w:after="40"/>
      </w:pPr>
      <w:r>
        <w:rPr>
          <w:sz w:val="20"/>
        </w:rPr>
        <w:t>IIC = groupe le plus exigeant (H₂, acétylène) — couvre IIA et IIB</w:t>
      </w:r>
    </w:p>
    <w:p>
      <w:pPr>
        <w:pStyle w:val="ListBullet"/>
        <w:spacing w:after="40"/>
      </w:pPr>
      <w:r>
        <w:rPr>
          <w:sz w:val="20"/>
        </w:rPr>
        <w:t>T4 = surface max 135°C | T6 = surface max 85°C (le plus restrictif)</w:t>
      </w:r>
    </w:p>
    <w:p>
      <w:pPr>
        <w:pStyle w:val="ListBullet"/>
        <w:spacing w:after="40"/>
      </w:pPr>
      <w:r>
        <w:rPr>
          <w:sz w:val="20"/>
        </w:rPr>
        <w:t>Un équipement mal sélectionné peut devenir une source d'inflammation</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r>
        <w:br w:type="page"/>
      </w:r>
    </w:p>
    <w:p>
      <w:pPr>
        <w:shd w:val="clear" w:color="auto" w:fill="1a4e8c"/>
        <w:spacing w:before="200" w:after="100"/>
      </w:pPr>
      <w:r>
        <w:rPr>
          <w:b/>
          <w:color w:val="FFFFFF"/>
          <w:sz w:val="26"/>
        </w:rPr>
        <w:t>MODULE 4 — DRPCE &amp; AUTORISATION DE TRAVAIL</w:t>
      </w:r>
    </w:p>
    <w:p>
      <w:pPr>
        <w:pBdr>
          <w:bottom w:val="single" w:sz="4" w:color="1a4e8c"/>
        </w:pBdr>
        <w:spacing w:before="160" w:after="80"/>
      </w:pPr>
      <w:r>
        <w:rPr>
          <w:b/>
          <w:color w:val="1A4E8C"/>
          <w:sz w:val="24"/>
        </w:rPr>
        <w:t>4.1 Le DRPCE — Document Relatif à la Protection Contre les Explosions</w:t>
      </w:r>
    </w:p>
    <w:p>
      <w:pPr>
        <w:shd w:val="clear" w:color="auto" w:fill="fee2e2"/>
        <w:spacing w:before="80" w:after="80"/>
        <w:ind w:left="170"/>
      </w:pPr>
      <w:r>
        <w:rPr>
          <w:b/>
          <w:sz w:val="20"/>
        </w:rPr>
        <w:t>⚠️ Art. R4227-52 du Code du travail : le DRPCE est OBLIGATOIRE pour tout établissement disposant de zones ATEX.</w:t>
      </w:r>
    </w:p>
    <w:p>
      <w:r>
        <w:rPr>
          <w:b w:val="0"/>
          <w:i w:val="0"/>
          <w:sz w:val="21"/>
        </w:rPr>
        <w:t>Le DRPCE contient :</w:t>
      </w:r>
    </w:p>
    <w:p>
      <w:pPr>
        <w:pStyle w:val="ListBullet"/>
        <w:spacing w:after="40"/>
      </w:pPr>
      <w:r>
        <w:rPr>
          <w:sz w:val="20"/>
        </w:rPr>
        <w:t>L'évaluation des risques d'explosion</w:t>
      </w:r>
    </w:p>
    <w:p>
      <w:pPr>
        <w:pStyle w:val="ListBullet"/>
        <w:spacing w:after="40"/>
      </w:pPr>
      <w:r>
        <w:rPr>
          <w:sz w:val="20"/>
        </w:rPr>
        <w:t>La classification des zones ATEX (plan de zonage)</w:t>
      </w:r>
    </w:p>
    <w:p>
      <w:pPr>
        <w:pStyle w:val="ListBullet"/>
        <w:spacing w:after="40"/>
      </w:pPr>
      <w:r>
        <w:rPr>
          <w:sz w:val="20"/>
        </w:rPr>
        <w:t>Les mesures de prévention et de protection retenues</w:t>
      </w:r>
    </w:p>
    <w:p>
      <w:pPr>
        <w:pStyle w:val="ListBullet"/>
        <w:spacing w:after="40"/>
      </w:pPr>
      <w:r>
        <w:rPr>
          <w:sz w:val="20"/>
        </w:rPr>
        <w:t>La liste des équipements Ex utilisés avec leurs certificats</w:t>
      </w:r>
    </w:p>
    <w:p>
      <w:pPr>
        <w:pStyle w:val="ListBullet"/>
        <w:spacing w:after="40"/>
      </w:pPr>
      <w:r>
        <w:rPr>
          <w:sz w:val="20"/>
        </w:rPr>
        <w:t>Les procédures d'intervention et d'autorisation de travail</w:t>
      </w:r>
    </w:p>
    <w:p>
      <w:r>
        <w:rPr>
          <w:b w:val="0"/>
          <w:i/>
          <w:sz w:val="21"/>
        </w:rPr>
        <w:t>Le DRPCE doit être révisé à chaque modification significative de l'installation ou après tout incident ATEX.</w:t>
      </w:r>
    </w:p>
    <w:p>
      <w:pPr>
        <w:pBdr>
          <w:bottom w:val="single" w:sz="4" w:color="1a4e8c"/>
        </w:pBdr>
        <w:spacing w:before="160" w:after="80"/>
      </w:pPr>
      <w:r>
        <w:rPr>
          <w:b/>
          <w:color w:val="1A4E8C"/>
          <w:sz w:val="24"/>
        </w:rPr>
        <w:t>4.2 L'Autorisation de Travail (AT)</w:t>
      </w:r>
    </w:p>
    <w:p>
      <w:pPr>
        <w:pStyle w:val="ListBullet"/>
        <w:spacing w:after="40"/>
      </w:pPr>
      <w:r>
        <w:rPr>
          <w:sz w:val="20"/>
        </w:rPr>
        <w:t>Obligatoire avant toute intervention en zone ATEX (Art. R4515-8 du Code du travail)</w:t>
      </w:r>
    </w:p>
    <w:p>
      <w:pPr>
        <w:pStyle w:val="ListBullet"/>
        <w:spacing w:after="40"/>
      </w:pPr>
      <w:r>
        <w:rPr>
          <w:sz w:val="20"/>
        </w:rPr>
        <w:t>Délivrée par une personne compétente désignée par l'employeur (référent ATEX)</w:t>
      </w:r>
    </w:p>
    <w:p>
      <w:pPr>
        <w:pStyle w:val="ListBullet"/>
        <w:spacing w:after="40"/>
      </w:pPr>
      <w:r>
        <w:rPr>
          <w:sz w:val="20"/>
        </w:rPr>
        <w:t>Précise : zone concernée, conditions atmosphériques, EPI requis, outillage autorisé, durée</w:t>
      </w:r>
    </w:p>
    <w:p>
      <w:pPr>
        <w:pStyle w:val="ListBullet"/>
        <w:spacing w:after="40"/>
      </w:pPr>
      <w:r>
        <w:rPr>
          <w:sz w:val="20"/>
        </w:rPr>
        <w:t>Valable pour une intervention spécifique — à renouveler pour chaque nouvelle opération</w:t>
      </w:r>
    </w:p>
    <w:p>
      <w:pPr>
        <w:pBdr>
          <w:bottom w:val="single" w:sz="4" w:color="1a4e8c"/>
        </w:pBdr>
        <w:spacing w:before="160" w:after="80"/>
      </w:pPr>
      <w:r>
        <w:rPr>
          <w:b/>
          <w:color w:val="1A4E8C"/>
          <w:sz w:val="24"/>
        </w:rPr>
        <w:t>4.3 Le Permis de Feu</w:t>
      </w:r>
    </w:p>
    <w:p>
      <w:pPr>
        <w:shd w:val="clear" w:color="auto" w:fill="fff3cd"/>
        <w:spacing w:before="80" w:after="80"/>
        <w:ind w:left="170"/>
      </w:pPr>
      <w:r>
        <w:rPr>
          <w:b/>
          <w:sz w:val="20"/>
        </w:rPr>
        <w:t>⚠️ OBLIGATOIRE pour tout travail par points chauds (soudure, meulage, découpe, perçage) en zone ATEX ou à proximité.</w:t>
      </w:r>
    </w:p>
    <w:p>
      <w:pPr>
        <w:pStyle w:val="ListBullet"/>
        <w:spacing w:after="40"/>
      </w:pPr>
      <w:r>
        <w:rPr>
          <w:sz w:val="20"/>
        </w:rPr>
        <w:t>Complète l'AT — précise les vérifications atmosphériques avant et pendant les travaux</w:t>
      </w:r>
    </w:p>
    <w:p>
      <w:pPr>
        <w:pStyle w:val="ListBullet"/>
        <w:spacing w:after="40"/>
      </w:pPr>
      <w:r>
        <w:rPr>
          <w:sz w:val="20"/>
        </w:rPr>
        <w:t>Les travaux par points chauds = PREMIÈRE CAUSE d'accidents ATEX (données INRS/ARIA)</w:t>
      </w:r>
    </w:p>
    <w:p>
      <w:pPr>
        <w:shd w:val="clear" w:color="auto" w:fill="dbeafe"/>
        <w:spacing w:before="80" w:after="80"/>
        <w:ind w:left="170"/>
      </w:pPr>
      <w:r>
        <w:rPr>
          <w:b/>
          <w:sz w:val="20"/>
        </w:rPr>
        <w:t>Points clés à retenir</w:t>
      </w:r>
    </w:p>
    <w:p>
      <w:pPr>
        <w:pStyle w:val="ListBullet"/>
        <w:spacing w:after="40"/>
      </w:pPr>
      <w:r>
        <w:rPr>
          <w:sz w:val="20"/>
        </w:rPr>
        <w:t>Pas d'AT = interdiction absolue d'entrer en zone ATEX</w:t>
      </w:r>
    </w:p>
    <w:p>
      <w:pPr>
        <w:pStyle w:val="ListBullet"/>
        <w:spacing w:after="40"/>
      </w:pPr>
      <w:r>
        <w:rPr>
          <w:sz w:val="20"/>
        </w:rPr>
        <w:t>Le DRPCE doit être accessible à tout intervenant sur le site</w:t>
      </w:r>
    </w:p>
    <w:p>
      <w:pPr>
        <w:pStyle w:val="ListBullet"/>
        <w:spacing w:after="40"/>
      </w:pPr>
      <w:r>
        <w:rPr>
          <w:sz w:val="20"/>
        </w:rPr>
        <w:t>Permis de feu obligatoire pour toute flamme, étincelle ou surface chaude</w:t>
      </w:r>
    </w:p>
    <w:p>
      <w:pPr>
        <w:pStyle w:val="ListBullet"/>
        <w:spacing w:after="40"/>
      </w:pPr>
      <w:r>
        <w:rPr>
          <w:sz w:val="20"/>
        </w:rPr>
        <w:t>Vérifier la validité de l'AT avant chaque intervention</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r>
        <w:br w:type="page"/>
      </w:r>
    </w:p>
    <w:p>
      <w:pPr>
        <w:shd w:val="clear" w:color="auto" w:fill="1a4e8c"/>
        <w:spacing w:before="200" w:after="100"/>
      </w:pPr>
      <w:r>
        <w:rPr>
          <w:b/>
          <w:color w:val="FFFFFF"/>
          <w:sz w:val="26"/>
        </w:rPr>
        <w:t>MODULE 5 — L'EXPLOSIMÈTRE</w:t>
      </w:r>
    </w:p>
    <w:p>
      <w:pPr>
        <w:pBdr>
          <w:bottom w:val="single" w:sz="4" w:color="1a4e8c"/>
        </w:pBdr>
        <w:spacing w:before="160" w:after="80"/>
      </w:pPr>
      <w:r>
        <w:rPr>
          <w:b/>
          <w:color w:val="1A4E8C"/>
          <w:sz w:val="24"/>
        </w:rPr>
        <w:t>5.1 Fonctionnement et seuils</w:t>
      </w:r>
    </w:p>
    <w:p>
      <w:r>
        <w:rPr>
          <w:b w:val="0"/>
          <w:i w:val="0"/>
          <w:sz w:val="21"/>
        </w:rPr>
        <w:t>L'explosimètre mesure la concentration de gaz ou vapeurs inflammables dans l'air et la compare à la LIE du produit présent.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a4e8c"/>
          </w:tcPr>
          <w:p>
            <w:r>
              <w:rPr>
                <w:b/>
                <w:color w:val="FFFFFF"/>
                <w:sz w:val="20"/>
              </w:rPr>
              <w:t>Affichage</w:t>
            </w:r>
          </w:p>
        </w:tc>
        <w:tc>
          <w:tcPr>
            <w:tcW w:type="dxa" w:w="3213"/>
            <w:shd w:val="clear" w:color="auto" w:fill="1a4e8c"/>
          </w:tcPr>
          <w:p>
            <w:r>
              <w:rPr>
                <w:b/>
                <w:color w:val="FFFFFF"/>
                <w:sz w:val="20"/>
              </w:rPr>
              <w:t>Seuil</w:t>
            </w:r>
          </w:p>
        </w:tc>
        <w:tc>
          <w:tcPr>
            <w:tcW w:type="dxa" w:w="3213"/>
            <w:shd w:val="clear" w:color="auto" w:fill="1a4e8c"/>
          </w:tcPr>
          <w:p>
            <w:r>
              <w:rPr>
                <w:b/>
                <w:color w:val="FFFFFF"/>
                <w:sz w:val="20"/>
              </w:rPr>
              <w:t>Signification</w:t>
            </w:r>
          </w:p>
        </w:tc>
      </w:tr>
      <w:tr>
        <w:tc>
          <w:tcPr>
            <w:tcW w:type="dxa" w:w="3213"/>
          </w:tcPr>
          <w:p>
            <w:r>
              <w:rPr>
                <w:b w:val="0"/>
                <w:sz w:val="20"/>
              </w:rPr>
              <w:t>0 — 19% LIE</w:t>
            </w:r>
          </w:p>
        </w:tc>
        <w:tc>
          <w:tcPr>
            <w:tcW w:type="dxa" w:w="3213"/>
            <w:shd w:val="clear" w:color="auto" w:fill="d1fae5"/>
          </w:tcPr>
          <w:p>
            <w:r>
              <w:rPr>
                <w:b w:val="0"/>
                <w:sz w:val="20"/>
              </w:rPr>
              <w:t>Vert — Normal</w:t>
            </w:r>
          </w:p>
        </w:tc>
        <w:tc>
          <w:tcPr>
            <w:tcW w:type="dxa" w:w="3213"/>
          </w:tcPr>
          <w:p>
            <w:r>
              <w:rPr>
                <w:b w:val="0"/>
                <w:sz w:val="20"/>
              </w:rPr>
              <w:t>Zone sûre pour l'intervention</w:t>
            </w:r>
          </w:p>
        </w:tc>
      </w:tr>
      <w:tr>
        <w:tc>
          <w:tcPr>
            <w:tcW w:type="dxa" w:w="3213"/>
          </w:tcPr>
          <w:p>
            <w:r>
              <w:rPr>
                <w:b w:val="0"/>
                <w:sz w:val="20"/>
              </w:rPr>
              <w:t>20% LIE</w:t>
            </w:r>
          </w:p>
        </w:tc>
        <w:tc>
          <w:tcPr>
            <w:tcW w:type="dxa" w:w="3213"/>
            <w:shd w:val="clear" w:color="auto" w:fill="fff3cd"/>
          </w:tcPr>
          <w:p>
            <w:r>
              <w:rPr>
                <w:b w:val="0"/>
                <w:sz w:val="20"/>
              </w:rPr>
              <w:t>Alarme basse (ATTENTION)</w:t>
            </w:r>
          </w:p>
        </w:tc>
        <w:tc>
          <w:tcPr>
            <w:tcW w:type="dxa" w:w="3213"/>
          </w:tcPr>
          <w:p>
            <w:r>
              <w:rPr>
                <w:b w:val="0"/>
                <w:sz w:val="20"/>
              </w:rPr>
              <w:t>Arrêt des travaux — contrôle atmosphérique renforcé</w:t>
            </w:r>
          </w:p>
        </w:tc>
      </w:tr>
      <w:tr>
        <w:tc>
          <w:tcPr>
            <w:tcW w:type="dxa" w:w="3213"/>
          </w:tcPr>
          <w:p>
            <w:r>
              <w:rPr>
                <w:b w:val="0"/>
                <w:sz w:val="20"/>
              </w:rPr>
              <w:t>&gt; 50% LIE</w:t>
            </w:r>
          </w:p>
        </w:tc>
        <w:tc>
          <w:tcPr>
            <w:tcW w:type="dxa" w:w="3213"/>
            <w:shd w:val="clear" w:color="auto" w:fill="fee2e2"/>
          </w:tcPr>
          <w:p>
            <w:r>
              <w:rPr>
                <w:b w:val="0"/>
                <w:sz w:val="20"/>
              </w:rPr>
              <w:t>Alarme haute (DANGER)</w:t>
            </w:r>
          </w:p>
        </w:tc>
        <w:tc>
          <w:tcPr>
            <w:tcW w:type="dxa" w:w="3213"/>
          </w:tcPr>
          <w:p>
            <w:r>
              <w:rPr>
                <w:b w:val="0"/>
                <w:sz w:val="20"/>
              </w:rPr>
              <w:t>Évacuation immédiate</w:t>
            </w:r>
          </w:p>
        </w:tc>
      </w:tr>
    </w:tbl>
    <w:p>
      <w:pPr>
        <w:pBdr>
          <w:bottom w:val="single" w:sz="4" w:color="1a4e8c"/>
        </w:pBdr>
        <w:spacing w:before="160" w:after="80"/>
      </w:pPr>
      <w:r>
        <w:rPr>
          <w:b/>
          <w:color w:val="1A4E8C"/>
          <w:sz w:val="24"/>
        </w:rPr>
        <w:t>5.2 Vérifications obligatoires</w:t>
      </w:r>
    </w:p>
    <w:p>
      <w:pPr>
        <w:pStyle w:val="ListBullet"/>
        <w:spacing w:after="40"/>
      </w:pPr>
      <w:r>
        <w:rPr>
          <w:sz w:val="20"/>
        </w:rPr>
        <w:t>AVANT chaque utilisation : bump test (test fonctionnel avec gaz d'étalonnage — gaz de même famille que le produit présent)</w:t>
      </w:r>
    </w:p>
    <w:p>
      <w:pPr>
        <w:pStyle w:val="ListBullet"/>
        <w:spacing w:after="40"/>
      </w:pPr>
      <w:r>
        <w:rPr>
          <w:sz w:val="20"/>
        </w:rPr>
        <w:t>ÉTALONNAGE PÉRIODIQUE : selon la fréquence préconisée par le fabricant (généralement semestrielle ou annuelle)</w:t>
      </w:r>
    </w:p>
    <w:p>
      <w:pPr>
        <w:pStyle w:val="ListBullet"/>
        <w:spacing w:after="40"/>
      </w:pPr>
      <w:r>
        <w:rPr>
          <w:sz w:val="20"/>
        </w:rPr>
        <w:t>L'étalonnage doit être documenté — conserver le compte rendu</w:t>
      </w:r>
    </w:p>
    <w:p>
      <w:pPr>
        <w:pStyle w:val="ListBullet"/>
        <w:spacing w:after="40"/>
      </w:pPr>
      <w:r>
        <w:rPr>
          <w:sz w:val="20"/>
        </w:rPr>
        <w:t>Un explosimètre non testé = non fiable → ne pas utiliser en zone ATEX</w:t>
      </w:r>
    </w:p>
    <w:p>
      <w:pPr>
        <w:shd w:val="clear" w:color="auto" w:fill="fee2e2"/>
        <w:spacing w:before="80" w:after="80"/>
        <w:ind w:left="170"/>
      </w:pPr>
      <w:r>
        <w:rPr>
          <w:b/>
          <w:sz w:val="20"/>
        </w:rPr>
        <w:t>⚠️  L'appareil lui-même doit être certifié Ex pour la zone concernée. Vérifier le marquage ATEX sur l'appareil.</w:t>
      </w:r>
    </w:p>
    <w:p>
      <w:pPr>
        <w:shd w:val="clear" w:color="auto" w:fill="dbeafe"/>
        <w:spacing w:before="80" w:after="80"/>
        <w:ind w:left="170"/>
      </w:pPr>
      <w:r>
        <w:rPr>
          <w:b/>
          <w:sz w:val="20"/>
        </w:rPr>
        <w:t>Points clés à retenir</w:t>
      </w:r>
    </w:p>
    <w:p>
      <w:pPr>
        <w:pStyle w:val="ListBullet"/>
        <w:spacing w:after="40"/>
      </w:pPr>
      <w:r>
        <w:rPr>
          <w:sz w:val="20"/>
        </w:rPr>
        <w:t>Alarme basse = 20% de la LIE (pas 20% du volume d'air)</w:t>
      </w:r>
    </w:p>
    <w:p>
      <w:pPr>
        <w:pStyle w:val="ListBullet"/>
        <w:spacing w:after="40"/>
      </w:pPr>
      <w:r>
        <w:rPr>
          <w:sz w:val="20"/>
        </w:rPr>
        <w:t>Bump test QUOTIDIEN avant toute utilisation en zone ATEX</w:t>
      </w:r>
    </w:p>
    <w:p>
      <w:pPr>
        <w:pStyle w:val="ListBullet"/>
        <w:spacing w:after="40"/>
      </w:pPr>
      <w:r>
        <w:rPr>
          <w:sz w:val="20"/>
        </w:rPr>
        <w:t>En cas d'alarme : arrêt immédiat + évacuation calme + alerte responsable</w:t>
      </w:r>
    </w:p>
    <w:p>
      <w:pPr>
        <w:pStyle w:val="ListBullet"/>
        <w:spacing w:after="40"/>
      </w:pPr>
      <w:r>
        <w:rPr>
          <w:sz w:val="20"/>
        </w:rPr>
        <w:t>Ne jamais entrer en zone ATEX sans explosimètre certifié Ex et testé</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r>
        <w:br w:type="page"/>
      </w:r>
    </w:p>
    <w:p>
      <w:pPr>
        <w:shd w:val="clear" w:color="auto" w:fill="1a4e8c"/>
        <w:spacing w:before="200" w:after="100"/>
      </w:pPr>
      <w:r>
        <w:rPr>
          <w:b/>
          <w:color w:val="FFFFFF"/>
          <w:sz w:val="26"/>
        </w:rPr>
        <w:t>MODULE 6 — EPI ANTISTATIQUES</w:t>
      </w:r>
    </w:p>
    <w:p>
      <w:pPr>
        <w:jc w:val="center"/>
      </w:pPr>
      <w:r>
        <w:drawing>
          <wp:inline xmlns:a="http://schemas.openxmlformats.org/drawingml/2006/main" xmlns:pic="http://schemas.openxmlformats.org/drawingml/2006/picture">
            <wp:extent cx="5040000" cy="4896000"/>
            <wp:docPr id="5" name="Picture 5"/>
            <wp:cNvGraphicFramePr>
              <a:graphicFrameLocks noChangeAspect="1"/>
            </wp:cNvGraphicFramePr>
            <a:graphic>
              <a:graphicData uri="http://schemas.openxmlformats.org/drawingml/2006/picture">
                <pic:pic>
                  <pic:nvPicPr>
                    <pic:cNvPr id="0" name="atex-fiche-epi-mabeo.png"/>
                    <pic:cNvPicPr/>
                  </pic:nvPicPr>
                  <pic:blipFill>
                    <a:blip r:embed="rId13"/>
                    <a:stretch>
                      <a:fillRect/>
                    </a:stretch>
                  </pic:blipFill>
                  <pic:spPr>
                    <a:xfrm>
                      <a:off x="0" y="0"/>
                      <a:ext cx="5040000" cy="4896000"/>
                    </a:xfrm>
                    <a:prstGeom prst="rect"/>
                  </pic:spPr>
                </pic:pic>
              </a:graphicData>
            </a:graphic>
          </wp:inline>
        </w:drawing>
      </w:r>
    </w:p>
    <w:p>
      <w:pPr>
        <w:jc w:val="center"/>
      </w:pPr>
      <w:r>
        <w:rPr>
          <w:i/>
          <w:color w:val="888888"/>
          <w:sz w:val="18"/>
        </w:rPr>
        <w:t>Fiche EPI ATEX Mabéo Industries — système complet avec normes : EN 397/A1, EN 1149-5, EN ISO 14116, EN ISO 11612, EN 60903, EN ISO 20345</w:t>
      </w:r>
    </w:p>
    <w:p>
      <w:pPr>
        <w:pBdr>
          <w:bottom w:val="single" w:sz="4" w:color="1a4e8c"/>
        </w:pBdr>
        <w:spacing w:before="160" w:after="80"/>
      </w:pPr>
      <w:r>
        <w:rPr>
          <w:b/>
          <w:color w:val="1A4E8C"/>
          <w:sz w:val="24"/>
        </w:rPr>
        <w:t>6.1 Le système EPI antistatique complet</w:t>
      </w:r>
    </w:p>
    <w:p>
      <w:pPr>
        <w:shd w:val="clear" w:color="auto" w:fill="fff3cd"/>
        <w:spacing w:before="80" w:after="80"/>
        <w:ind w:left="170"/>
      </w:pPr>
      <w:r>
        <w:rPr>
          <w:b/>
          <w:sz w:val="20"/>
        </w:rPr>
        <w:t>ATTENTION : le système EPI antistatique doit être complet. La combinaison seule ne suffit pas.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a4e8c"/>
          </w:tcPr>
          <w:p>
            <w:r>
              <w:rPr>
                <w:b/>
                <w:color w:val="FFFFFF"/>
                <w:sz w:val="19"/>
              </w:rPr>
              <w:t>EPI</w:t>
            </w:r>
          </w:p>
        </w:tc>
        <w:tc>
          <w:tcPr>
            <w:tcW w:type="dxa" w:w="3213"/>
            <w:shd w:val="clear" w:color="auto" w:fill="1a4e8c"/>
          </w:tcPr>
          <w:p>
            <w:r>
              <w:rPr>
                <w:b/>
                <w:color w:val="FFFFFF"/>
                <w:sz w:val="19"/>
              </w:rPr>
              <w:t>Norme(s) requise(s)</w:t>
            </w:r>
          </w:p>
        </w:tc>
        <w:tc>
          <w:tcPr>
            <w:tcW w:type="dxa" w:w="3213"/>
            <w:shd w:val="clear" w:color="auto" w:fill="1a4e8c"/>
          </w:tcPr>
          <w:p>
            <w:r>
              <w:rPr>
                <w:b/>
                <w:color w:val="FFFFFF"/>
                <w:sz w:val="19"/>
              </w:rPr>
              <w:t>Points de vérification</w:t>
            </w:r>
          </w:p>
        </w:tc>
      </w:tr>
      <w:tr>
        <w:tc>
          <w:tcPr>
            <w:tcW w:type="dxa" w:w="3213"/>
          </w:tcPr>
          <w:p>
            <w:r>
              <w:rPr>
                <w:b/>
                <w:sz w:val="19"/>
              </w:rPr>
              <w:t>Casque ESD</w:t>
            </w:r>
          </w:p>
        </w:tc>
        <w:tc>
          <w:tcPr>
            <w:tcW w:type="dxa" w:w="3213"/>
          </w:tcPr>
          <w:p>
            <w:r>
              <w:rPr>
                <w:b w:val="0"/>
                <w:sz w:val="19"/>
              </w:rPr>
              <w:t>EN 397/A1 (antistatique)</w:t>
            </w:r>
          </w:p>
        </w:tc>
        <w:tc>
          <w:tcPr>
            <w:tcW w:type="dxa" w:w="3213"/>
          </w:tcPr>
          <w:p>
            <w:r>
              <w:rPr>
                <w:b w:val="0"/>
                <w:sz w:val="19"/>
              </w:rPr>
              <w:t>Marquage ESD visible sur le casque — pas de casque standard</w:t>
            </w:r>
          </w:p>
        </w:tc>
      </w:tr>
      <w:tr>
        <w:tc>
          <w:tcPr>
            <w:tcW w:type="dxa" w:w="3213"/>
          </w:tcPr>
          <w:p>
            <w:r>
              <w:rPr>
                <w:b/>
                <w:sz w:val="19"/>
              </w:rPr>
              <w:t>Combinaison / Vêtements</w:t>
            </w:r>
          </w:p>
        </w:tc>
        <w:tc>
          <w:tcPr>
            <w:tcW w:type="dxa" w:w="3213"/>
          </w:tcPr>
          <w:p>
            <w:r>
              <w:rPr>
                <w:b w:val="0"/>
                <w:sz w:val="19"/>
              </w:rPr>
              <w:t>EN 1149-5 (antistatique)</w:t>
              <w:br/>
              <w:t>EN ISO 14116 (flamme limitée)</w:t>
              <w:br/>
              <w:t>EN ISO 11612 (chaleur/flammes)</w:t>
            </w:r>
          </w:p>
        </w:tc>
        <w:tc>
          <w:tcPr>
            <w:tcW w:type="dxa" w:w="3213"/>
          </w:tcPr>
          <w:p>
            <w:r>
              <w:rPr>
                <w:b w:val="0"/>
                <w:sz w:val="19"/>
              </w:rPr>
              <w:t>3 normes cumulatives. Lavage selon notice fabricant. Vérifier après chaque lavage.</w:t>
            </w:r>
          </w:p>
        </w:tc>
      </w:tr>
      <w:tr>
        <w:tc>
          <w:tcPr>
            <w:tcW w:type="dxa" w:w="3213"/>
          </w:tcPr>
          <w:p>
            <w:r>
              <w:rPr>
                <w:b/>
                <w:sz w:val="19"/>
              </w:rPr>
              <w:t>Gants isolants</w:t>
            </w:r>
          </w:p>
        </w:tc>
        <w:tc>
          <w:tcPr>
            <w:tcW w:type="dxa" w:w="3213"/>
          </w:tcPr>
          <w:p>
            <w:r>
              <w:rPr>
                <w:b w:val="0"/>
                <w:sz w:val="19"/>
              </w:rPr>
              <w:t>EN 60903</w:t>
            </w:r>
          </w:p>
        </w:tc>
        <w:tc>
          <w:tcPr>
            <w:tcW w:type="dxa" w:w="3213"/>
          </w:tcPr>
          <w:p>
            <w:r>
              <w:rPr>
                <w:b w:val="0"/>
                <w:sz w:val="19"/>
              </w:rPr>
              <w:t>Vérifier absence de trou, coupure avant chaque utilisation. Testé à la tension requise.</w:t>
            </w:r>
          </w:p>
        </w:tc>
      </w:tr>
      <w:tr>
        <w:tc>
          <w:tcPr>
            <w:tcW w:type="dxa" w:w="3213"/>
          </w:tcPr>
          <w:p>
            <w:r>
              <w:rPr>
                <w:b/>
                <w:sz w:val="19"/>
              </w:rPr>
              <w:t>Chaussures de sécurité ESD</w:t>
            </w:r>
          </w:p>
        </w:tc>
        <w:tc>
          <w:tcPr>
            <w:tcW w:type="dxa" w:w="3213"/>
          </w:tcPr>
          <w:p>
            <w:r>
              <w:rPr>
                <w:b w:val="0"/>
                <w:sz w:val="19"/>
              </w:rPr>
              <w:t>EN ISO 20345 + propriété ESD</w:t>
            </w:r>
          </w:p>
        </w:tc>
        <w:tc>
          <w:tcPr>
            <w:tcW w:type="dxa" w:w="3213"/>
          </w:tcPr>
          <w:p>
            <w:r>
              <w:rPr>
                <w:b w:val="0"/>
                <w:sz w:val="19"/>
              </w:rPr>
              <w:t>Résistance 100 kΩ à 1000 MΩ. Efficaces sur sol conducteur uniquement.</w:t>
            </w:r>
          </w:p>
        </w:tc>
      </w:tr>
      <w:tr>
        <w:tc>
          <w:tcPr>
            <w:tcW w:type="dxa" w:w="3213"/>
          </w:tcPr>
          <w:p>
            <w:r>
              <w:rPr>
                <w:b/>
                <w:sz w:val="19"/>
              </w:rPr>
              <w:t>Sous-vêtements</w:t>
            </w:r>
          </w:p>
        </w:tc>
        <w:tc>
          <w:tcPr>
            <w:tcW w:type="dxa" w:w="3213"/>
          </w:tcPr>
          <w:p>
            <w:r>
              <w:rPr>
                <w:b w:val="0"/>
                <w:sz w:val="19"/>
              </w:rPr>
              <w:t>Non synthétiques (coton ou antistatiques certifiés)</w:t>
            </w:r>
          </w:p>
        </w:tc>
        <w:tc>
          <w:tcPr>
            <w:tcW w:type="dxa" w:w="3213"/>
          </w:tcPr>
          <w:p>
            <w:r>
              <w:rPr>
                <w:b w:val="0"/>
                <w:sz w:val="19"/>
              </w:rPr>
              <w:t>Polyester interdit sous combinaison certifiée — accumule les charges électrostatiques</w:t>
            </w:r>
          </w:p>
        </w:tc>
      </w:tr>
    </w:tbl>
    <w:p>
      <w:pPr>
        <w:pBdr>
          <w:bottom w:val="single" w:sz="4" w:color="1a4e8c"/>
        </w:pBdr>
        <w:spacing w:before="160" w:after="80"/>
      </w:pPr>
      <w:r>
        <w:rPr>
          <w:b/>
          <w:color w:val="1A4E8C"/>
          <w:sz w:val="24"/>
        </w:rPr>
        <w:t>6.2 Entretien et vérification des EPI</w:t>
      </w:r>
    </w:p>
    <w:p>
      <w:pPr>
        <w:pStyle w:val="ListBullet"/>
        <w:spacing w:after="40"/>
      </w:pPr>
      <w:r>
        <w:rPr>
          <w:sz w:val="20"/>
        </w:rPr>
        <w:t>Vérifier les EPI AVANT chaque utilisation (état général, marquages lisibles, aucun dommage visible)</w:t>
      </w:r>
    </w:p>
    <w:p>
      <w:pPr>
        <w:pStyle w:val="ListBullet"/>
        <w:spacing w:after="40"/>
      </w:pPr>
      <w:r>
        <w:rPr>
          <w:sz w:val="20"/>
        </w:rPr>
        <w:t>Laver les vêtements selon les instructions fabricant — certains détergents altèrent les propriétés antistatiques</w:t>
      </w:r>
    </w:p>
    <w:p>
      <w:pPr>
        <w:pStyle w:val="ListBullet"/>
        <w:spacing w:after="40"/>
      </w:pPr>
      <w:r>
        <w:rPr>
          <w:sz w:val="20"/>
        </w:rPr>
        <w:t>Vérifier les propriétés antistatiques après chaque lavage (test de résistance surfacique si équipement disponible)</w:t>
      </w:r>
    </w:p>
    <w:p>
      <w:pPr>
        <w:pStyle w:val="ListBullet"/>
        <w:spacing w:after="40"/>
      </w:pPr>
      <w:r>
        <w:rPr>
          <w:sz w:val="20"/>
        </w:rPr>
        <w:t>Ne plus utiliser en zone ATEX un EPI endommagé, réparé avec fil synthétique ou ayant dépassé sa date de péremption</w:t>
      </w:r>
    </w:p>
    <w:p>
      <w:pPr>
        <w:shd w:val="clear" w:color="auto" w:fill="dbeafe"/>
        <w:spacing w:before="80" w:after="80"/>
        <w:ind w:left="170"/>
      </w:pPr>
      <w:r>
        <w:rPr>
          <w:b/>
          <w:sz w:val="20"/>
        </w:rPr>
        <w:t>Points clés à retenir</w:t>
      </w:r>
    </w:p>
    <w:p>
      <w:pPr>
        <w:pStyle w:val="ListBullet"/>
        <w:spacing w:after="40"/>
      </w:pPr>
      <w:r>
        <w:rPr>
          <w:sz w:val="20"/>
        </w:rPr>
        <w:t>EN 1149-5 + EN ISO 14116 + EN ISO 11612 : les 3 normes sont cumulatives pour les vêtements</w:t>
      </w:r>
    </w:p>
    <w:p>
      <w:pPr>
        <w:pStyle w:val="ListBullet"/>
        <w:spacing w:after="40"/>
      </w:pPr>
      <w:r>
        <w:rPr>
          <w:sz w:val="20"/>
        </w:rPr>
        <w:t>EN 60903 : gants isolants — vérifier avant chaque utilisation</w:t>
      </w:r>
    </w:p>
    <w:p>
      <w:pPr>
        <w:pStyle w:val="ListBullet"/>
        <w:spacing w:after="40"/>
      </w:pPr>
      <w:r>
        <w:rPr>
          <w:sz w:val="20"/>
        </w:rPr>
        <w:t>EN ISO 20345 + ESD : chaussures — résistance 100 kΩ à 1000 MΩ</w:t>
      </w:r>
    </w:p>
    <w:p>
      <w:pPr>
        <w:pStyle w:val="ListBullet"/>
        <w:spacing w:after="40"/>
      </w:pPr>
      <w:r>
        <w:rPr>
          <w:sz w:val="20"/>
        </w:rPr>
        <w:t>Sous-vêtements synthétiques (polyester) : INTERDITS sous combinaison antistatique</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r>
        <w:br w:type="page"/>
      </w:r>
    </w:p>
    <w:p>
      <w:pPr>
        <w:shd w:val="clear" w:color="auto" w:fill="1a4e8c"/>
        <w:spacing w:before="200" w:after="100"/>
      </w:pPr>
      <w:r>
        <w:rPr>
          <w:b/>
          <w:color w:val="FFFFFF"/>
          <w:sz w:val="26"/>
        </w:rPr>
        <w:t>MODULE 7 — OUTILS ET OUTILLAGE EN ZONE ATEX</w:t>
      </w:r>
    </w:p>
    <w:p>
      <w:pPr>
        <w:pBdr>
          <w:bottom w:val="single" w:sz="4" w:color="1a4e8c"/>
        </w:pBdr>
        <w:spacing w:before="160" w:after="80"/>
      </w:pPr>
      <w:r>
        <w:rPr>
          <w:b/>
          <w:color w:val="1A4E8C"/>
          <w:sz w:val="24"/>
        </w:rPr>
        <w:t>7.1 Outils manuels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a4e8c"/>
          </w:tcPr>
          <w:p>
            <w:r>
              <w:rPr>
                <w:b/>
                <w:color w:val="FFFFFF"/>
                <w:sz w:val="19"/>
              </w:rPr>
              <w:t>Zone ATEX</w:t>
            </w:r>
          </w:p>
        </w:tc>
        <w:tc>
          <w:tcPr>
            <w:tcW w:type="dxa" w:w="3213"/>
            <w:shd w:val="clear" w:color="auto" w:fill="1a4e8c"/>
          </w:tcPr>
          <w:p>
            <w:r>
              <w:rPr>
                <w:b/>
                <w:color w:val="FFFFFF"/>
                <w:sz w:val="19"/>
              </w:rPr>
              <w:t>Outils autorisés</w:t>
            </w:r>
          </w:p>
        </w:tc>
        <w:tc>
          <w:tcPr>
            <w:tcW w:type="dxa" w:w="3213"/>
            <w:shd w:val="clear" w:color="auto" w:fill="1a4e8c"/>
          </w:tcPr>
          <w:p>
            <w:r>
              <w:rPr>
                <w:b/>
                <w:color w:val="FFFFFF"/>
                <w:sz w:val="19"/>
              </w:rPr>
              <w:t>Outils interdits</w:t>
            </w:r>
          </w:p>
        </w:tc>
      </w:tr>
      <w:tr>
        <w:tc>
          <w:tcPr>
            <w:tcW w:type="dxa" w:w="3213"/>
          </w:tcPr>
          <w:p>
            <w:r>
              <w:rPr>
                <w:b/>
                <w:sz w:val="19"/>
              </w:rPr>
              <w:t>Zone 0 et Zone 1</w:t>
            </w:r>
          </w:p>
        </w:tc>
        <w:tc>
          <w:tcPr>
            <w:tcW w:type="dxa" w:w="3213"/>
          </w:tcPr>
          <w:p>
            <w:r>
              <w:rPr>
                <w:b w:val="0"/>
                <w:sz w:val="19"/>
              </w:rPr>
              <w:t>Outils en alliages non ferreux anti-étincelles (Cu-Be, Cu-Al) — marqués ATEX</w:t>
            </w:r>
          </w:p>
        </w:tc>
        <w:tc>
          <w:tcPr>
            <w:tcW w:type="dxa" w:w="3213"/>
          </w:tcPr>
          <w:p>
            <w:r>
              <w:rPr>
                <w:b w:val="0"/>
                <w:sz w:val="19"/>
              </w:rPr>
              <w:t>Outils en acier ou fonte — risque d'étincelles par choc ou friction</w:t>
            </w:r>
          </w:p>
        </w:tc>
      </w:tr>
      <w:tr>
        <w:tc>
          <w:tcPr>
            <w:tcW w:type="dxa" w:w="3213"/>
            <w:shd w:val="clear" w:color="auto" w:fill="f5f5f5"/>
          </w:tcPr>
          <w:p>
            <w:r>
              <w:rPr>
                <w:b/>
                <w:sz w:val="19"/>
              </w:rPr>
              <w:t>Zone 2</w:t>
            </w:r>
          </w:p>
        </w:tc>
        <w:tc>
          <w:tcPr>
            <w:tcW w:type="dxa" w:w="3213"/>
            <w:shd w:val="clear" w:color="auto" w:fill="f5f5f5"/>
          </w:tcPr>
          <w:p>
            <w:r>
              <w:rPr>
                <w:b w:val="0"/>
                <w:sz w:val="19"/>
              </w:rPr>
              <w:t>Outils en acier autorisés sous conditions (analyse de risque, contrôle atmosphérique renforcé)</w:t>
            </w:r>
          </w:p>
        </w:tc>
        <w:tc>
          <w:tcPr>
            <w:tcW w:type="dxa" w:w="3213"/>
            <w:shd w:val="clear" w:color="auto" w:fill="f5f5f5"/>
          </w:tcPr>
          <w:p>
            <w:r>
              <w:rPr>
                <w:b w:val="0"/>
                <w:sz w:val="19"/>
              </w:rPr>
              <w:t>Outils rouillés ou contaminés — risque d'étincelles accru</w:t>
            </w:r>
          </w:p>
        </w:tc>
      </w:tr>
      <w:tr>
        <w:tc>
          <w:tcPr>
            <w:tcW w:type="dxa" w:w="3213"/>
          </w:tcPr>
          <w:p>
            <w:r>
              <w:rPr>
                <w:b/>
                <w:sz w:val="19"/>
              </w:rPr>
              <w:t>Toutes zones</w:t>
            </w:r>
          </w:p>
        </w:tc>
        <w:tc>
          <w:tcPr>
            <w:tcW w:type="dxa" w:w="3213"/>
          </w:tcPr>
          <w:p>
            <w:r>
              <w:rPr>
                <w:b w:val="0"/>
                <w:sz w:val="19"/>
              </w:rPr>
              <w:t>Outils propres, vérifiés, adaptés à la zone</w:t>
            </w:r>
          </w:p>
        </w:tc>
        <w:tc>
          <w:tcPr>
            <w:tcW w:type="dxa" w:w="3213"/>
          </w:tcPr>
          <w:p>
            <w:r>
              <w:rPr>
                <w:b w:val="0"/>
                <w:sz w:val="19"/>
              </w:rPr>
              <w:t>Équipements électroniques non certifiés Ex</w:t>
            </w:r>
          </w:p>
        </w:tc>
      </w:tr>
    </w:tbl>
    <w:p>
      <w:pPr>
        <w:pBdr>
          <w:bottom w:val="single" w:sz="4" w:color="1a4e8c"/>
        </w:pBdr>
        <w:spacing w:before="160" w:after="80"/>
      </w:pPr>
      <w:r>
        <w:rPr>
          <w:b/>
          <w:color w:val="1A4E8C"/>
          <w:sz w:val="24"/>
        </w:rPr>
        <w:t>7.2 Équipements électriques et électroniques</w:t>
      </w:r>
    </w:p>
    <w:p>
      <w:pPr>
        <w:shd w:val="clear" w:color="auto" w:fill="fee2e2"/>
        <w:spacing w:before="80" w:after="80"/>
        <w:ind w:left="170"/>
      </w:pPr>
      <w:r>
        <w:rPr>
          <w:b/>
          <w:sz w:val="20"/>
        </w:rPr>
        <w:t>⚠️ TOUT équipement électrique apporté en zone ATEX DOIT être certifié Ex pour la catégorie de zone concernée.</w:t>
      </w:r>
    </w:p>
    <w:p>
      <w:pPr>
        <w:pStyle w:val="ListBullet"/>
        <w:spacing w:after="40"/>
      </w:pPr>
      <w:r>
        <w:rPr>
          <w:sz w:val="20"/>
        </w:rPr>
        <w:t>Lampes torches — certification Ex obligatoire</w:t>
      </w:r>
    </w:p>
    <w:p>
      <w:pPr>
        <w:pStyle w:val="ListBullet"/>
        <w:spacing w:after="40"/>
      </w:pPr>
      <w:r>
        <w:rPr>
          <w:sz w:val="20"/>
        </w:rPr>
        <w:t>Perceuses et outillage électroportatif — certification Ex obligatoire</w:t>
      </w:r>
    </w:p>
    <w:p>
      <w:pPr>
        <w:pStyle w:val="ListBullet"/>
        <w:spacing w:after="40"/>
      </w:pPr>
      <w:r>
        <w:rPr>
          <w:sz w:val="20"/>
        </w:rPr>
        <w:t>Appareils de mesure (multimètres, clamps) — certification Ex obligatoire</w:t>
      </w:r>
    </w:p>
    <w:p>
      <w:pPr>
        <w:pStyle w:val="ListBullet"/>
        <w:spacing w:after="40"/>
      </w:pPr>
      <w:r>
        <w:rPr>
          <w:sz w:val="20"/>
        </w:rPr>
        <w:t>Radios et talkies-walkies — certification Ex obligatoire</w:t>
      </w:r>
    </w:p>
    <w:p>
      <w:pPr>
        <w:pStyle w:val="ListBullet"/>
        <w:spacing w:after="40"/>
      </w:pPr>
      <w:r>
        <w:rPr>
          <w:sz w:val="20"/>
        </w:rPr>
        <w:t>Téléphones portables (INTERDITS si non certifiés Ex) — certification Ex obligatoire</w:t>
      </w:r>
    </w:p>
    <w:p>
      <w:pPr>
        <w:pStyle w:val="ListBullet"/>
        <w:spacing w:after="40"/>
      </w:pPr>
      <w:r>
        <w:rPr>
          <w:sz w:val="20"/>
        </w:rPr>
        <w:t>Appareils photo et caméras — certification Ex obligatoire</w:t>
      </w:r>
    </w:p>
    <w:p>
      <w:pPr>
        <w:shd w:val="clear" w:color="auto" w:fill="dbeafe"/>
        <w:spacing w:before="80" w:after="80"/>
        <w:ind w:left="170"/>
      </w:pPr>
      <w:r>
        <w:rPr>
          <w:b/>
          <w:sz w:val="20"/>
        </w:rPr>
        <w:t>Points clés à retenir</w:t>
      </w:r>
    </w:p>
    <w:p>
      <w:pPr>
        <w:pStyle w:val="ListBullet"/>
        <w:spacing w:after="40"/>
      </w:pPr>
      <w:r>
        <w:rPr>
          <w:sz w:val="20"/>
        </w:rPr>
        <w:t>Zone 0/1 : outils anti-étincelles Cu-Be ou Cu-Al obligatoires</w:t>
      </w:r>
    </w:p>
    <w:p>
      <w:pPr>
        <w:pStyle w:val="ListBullet"/>
        <w:spacing w:after="40"/>
      </w:pPr>
      <w:r>
        <w:rPr>
          <w:sz w:val="20"/>
        </w:rPr>
        <w:t>Aucun appareil électronique non certifié Ex — même lampe torche, téléphone, caméra</w:t>
      </w:r>
    </w:p>
    <w:p>
      <w:pPr>
        <w:pStyle w:val="ListBullet"/>
        <w:spacing w:after="40"/>
      </w:pPr>
      <w:r>
        <w:rPr>
          <w:sz w:val="20"/>
        </w:rPr>
        <w:t>Vérifier le marquage Ex sur chaque outil apporté en zone ATEX</w:t>
      </w:r>
    </w:p>
    <w:p>
      <w:pPr>
        <w:pStyle w:val="ListBullet"/>
        <w:spacing w:after="40"/>
      </w:pPr>
      <w:r>
        <w:rPr>
          <w:sz w:val="20"/>
        </w:rPr>
        <w:t>Un outil non conforme = source d'inflammation potentielle → arrêt immédiat</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r>
        <w:br w:type="page"/>
      </w:r>
    </w:p>
    <w:p>
      <w:pPr>
        <w:shd w:val="clear" w:color="auto" w:fill="1a4e8c"/>
        <w:spacing w:before="200" w:after="100"/>
      </w:pPr>
      <w:r>
        <w:rPr>
          <w:b/>
          <w:color w:val="FFFFFF"/>
          <w:sz w:val="26"/>
        </w:rPr>
        <w:t>MODULE 8 — MAINTENANCE ET VÉRIFICATION DES ÉQUIPEMENTS Ex</w:t>
      </w:r>
    </w:p>
    <w:p>
      <w:pPr>
        <w:pBdr>
          <w:bottom w:val="single" w:sz="4" w:color="1a4e8c"/>
        </w:pBdr>
        <w:spacing w:before="160" w:after="80"/>
      </w:pPr>
      <w:r>
        <w:rPr>
          <w:b/>
          <w:color w:val="1A4E8C"/>
          <w:sz w:val="24"/>
        </w:rPr>
        <w:t>8.1 Norme EN 60079-17 — Inspection et entretien</w:t>
      </w:r>
    </w:p>
    <w:p>
      <w:r>
        <w:rPr>
          <w:b w:val="0"/>
          <w:i w:val="0"/>
          <w:sz w:val="21"/>
        </w:rPr>
        <w:t>La norme EN 60079-17 définit les 3 niveaux d'inspection des équipements Ex installés :</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a4e8c"/>
          </w:tcPr>
          <w:p>
            <w:r>
              <w:rPr>
                <w:b/>
                <w:color w:val="FFFFFF"/>
                <w:sz w:val="19"/>
              </w:rPr>
              <w:t>Niveau</w:t>
            </w:r>
          </w:p>
        </w:tc>
        <w:tc>
          <w:tcPr>
            <w:tcW w:type="dxa" w:w="3213"/>
            <w:shd w:val="clear" w:color="auto" w:fill="1a4e8c"/>
          </w:tcPr>
          <w:p>
            <w:r>
              <w:rPr>
                <w:b/>
                <w:color w:val="FFFFFF"/>
                <w:sz w:val="19"/>
              </w:rPr>
              <w:t>Méthode</w:t>
            </w:r>
          </w:p>
        </w:tc>
        <w:tc>
          <w:tcPr>
            <w:tcW w:type="dxa" w:w="3213"/>
            <w:shd w:val="clear" w:color="auto" w:fill="1a4e8c"/>
          </w:tcPr>
          <w:p>
            <w:r>
              <w:rPr>
                <w:b/>
                <w:color w:val="FFFFFF"/>
                <w:sz w:val="19"/>
              </w:rPr>
              <w:t>Éléments vérifiés</w:t>
            </w:r>
          </w:p>
        </w:tc>
      </w:tr>
      <w:tr>
        <w:tc>
          <w:tcPr>
            <w:tcW w:type="dxa" w:w="3213"/>
          </w:tcPr>
          <w:p>
            <w:r>
              <w:rPr>
                <w:b w:val="0"/>
                <w:sz w:val="19"/>
              </w:rPr>
              <w:t>Visuelle</w:t>
            </w:r>
          </w:p>
        </w:tc>
        <w:tc>
          <w:tcPr>
            <w:tcW w:type="dxa" w:w="3213"/>
          </w:tcPr>
          <w:p>
            <w:r>
              <w:rPr>
                <w:b w:val="0"/>
                <w:sz w:val="19"/>
              </w:rPr>
              <w:t>Sans démontage — vue d'ensemble</w:t>
            </w:r>
          </w:p>
        </w:tc>
        <w:tc>
          <w:tcPr>
            <w:tcW w:type="dxa" w:w="3213"/>
          </w:tcPr>
          <w:p>
            <w:r>
              <w:rPr>
                <w:b w:val="0"/>
                <w:sz w:val="19"/>
              </w:rPr>
              <w:t>État extérieur, fixations, signalisation, marquages Ex lisibles</w:t>
            </w:r>
          </w:p>
        </w:tc>
      </w:tr>
      <w:tr>
        <w:tc>
          <w:tcPr>
            <w:tcW w:type="dxa" w:w="3213"/>
          </w:tcPr>
          <w:p>
            <w:r>
              <w:rPr>
                <w:b w:val="0"/>
                <w:sz w:val="19"/>
              </w:rPr>
              <w:t>Rapprochée</w:t>
            </w:r>
          </w:p>
        </w:tc>
        <w:tc>
          <w:tcPr>
            <w:tcW w:type="dxa" w:w="3213"/>
          </w:tcPr>
          <w:p>
            <w:r>
              <w:rPr>
                <w:b w:val="0"/>
                <w:sz w:val="19"/>
              </w:rPr>
              <w:t>Accès nécessaire mais sans démontage</w:t>
            </w:r>
          </w:p>
        </w:tc>
        <w:tc>
          <w:tcPr>
            <w:tcW w:type="dxa" w:w="3213"/>
          </w:tcPr>
          <w:p>
            <w:r>
              <w:rPr>
                <w:b w:val="0"/>
                <w:sz w:val="19"/>
              </w:rPr>
              <w:t>Presse-étoupe, jeux, surfaces d'arrêt, intégrité du boîtier</w:t>
            </w:r>
          </w:p>
        </w:tc>
      </w:tr>
      <w:tr>
        <w:tc>
          <w:tcPr>
            <w:tcW w:type="dxa" w:w="3213"/>
          </w:tcPr>
          <w:p>
            <w:r>
              <w:rPr>
                <w:b w:val="0"/>
                <w:sz w:val="19"/>
              </w:rPr>
              <w:t>Détaillée</w:t>
            </w:r>
          </w:p>
        </w:tc>
        <w:tc>
          <w:tcPr>
            <w:tcW w:type="dxa" w:w="3213"/>
          </w:tcPr>
          <w:p>
            <w:r>
              <w:rPr>
                <w:b w:val="0"/>
                <w:sz w:val="19"/>
              </w:rPr>
              <w:t>Avec démontage partiel</w:t>
            </w:r>
          </w:p>
        </w:tc>
        <w:tc>
          <w:tcPr>
            <w:tcW w:type="dxa" w:w="3213"/>
          </w:tcPr>
          <w:p>
            <w:r>
              <w:rPr>
                <w:b w:val="0"/>
                <w:sz w:val="19"/>
              </w:rPr>
              <w:t>Intérieur du boîtier, connexions, conformité du câblage, isolation</w:t>
            </w:r>
          </w:p>
        </w:tc>
      </w:tr>
    </w:tbl>
    <w:p>
      <w:pPr>
        <w:pBdr>
          <w:bottom w:val="single" w:sz="4" w:color="1a4e8c"/>
        </w:pBdr>
        <w:spacing w:before="160" w:after="80"/>
      </w:pPr>
      <w:r>
        <w:rPr>
          <w:b/>
          <w:color w:val="1A4E8C"/>
          <w:sz w:val="24"/>
        </w:rPr>
        <w:t>8.2 Règles fondamentales</w:t>
      </w:r>
    </w:p>
    <w:p>
      <w:pPr>
        <w:pStyle w:val="ListBullet"/>
        <w:spacing w:after="40"/>
      </w:pPr>
      <w:r>
        <w:rPr>
          <w:sz w:val="20"/>
        </w:rPr>
        <w:t>Toujours respecter la notice fabricant et les certificats Ex lors des interventions de maintenance</w:t>
      </w:r>
    </w:p>
    <w:p>
      <w:pPr>
        <w:pStyle w:val="ListBullet"/>
        <w:spacing w:after="40"/>
      </w:pPr>
      <w:r>
        <w:rPr>
          <w:sz w:val="20"/>
        </w:rPr>
        <w:t>NE JAMAIS modifier un équipement Ex sans l'accord de l'organisme certificateur</w:t>
      </w:r>
    </w:p>
    <w:p>
      <w:pPr>
        <w:pStyle w:val="ListBullet"/>
        <w:spacing w:after="40"/>
      </w:pPr>
      <w:r>
        <w:rPr>
          <w:sz w:val="20"/>
        </w:rPr>
        <w:t>Remplacer les pièces défectueuses par des pièces de même référence (maintien de la conformité)</w:t>
      </w:r>
    </w:p>
    <w:p>
      <w:pPr>
        <w:pStyle w:val="ListBullet"/>
        <w:spacing w:after="40"/>
      </w:pPr>
      <w:r>
        <w:rPr>
          <w:sz w:val="20"/>
        </w:rPr>
        <w:t>Documenter chaque intervention de maintenance dans le registre de l'équipement</w:t>
      </w:r>
    </w:p>
    <w:p>
      <w:pPr>
        <w:pStyle w:val="ListBullet"/>
        <w:spacing w:after="40"/>
      </w:pPr>
      <w:r>
        <w:rPr>
          <w:sz w:val="20"/>
        </w:rPr>
        <w:t>Toute anomalie = arrêt de l'équipement + signalement + analyse avant remise en service</w:t>
      </w:r>
    </w:p>
    <w:p>
      <w:pPr>
        <w:shd w:val="clear" w:color="auto" w:fill="dbeafe"/>
        <w:spacing w:before="80" w:after="80"/>
        <w:ind w:left="170"/>
      </w:pPr>
      <w:r>
        <w:rPr>
          <w:b/>
          <w:sz w:val="20"/>
        </w:rPr>
        <w:t>Points clés à retenir</w:t>
      </w:r>
    </w:p>
    <w:p>
      <w:pPr>
        <w:pStyle w:val="ListBullet"/>
        <w:spacing w:after="40"/>
      </w:pPr>
      <w:r>
        <w:rPr>
          <w:sz w:val="20"/>
        </w:rPr>
        <w:t>EN 60079-17 : 3 niveaux d'inspection (visuelle, rapprochée, détaillée)</w:t>
      </w:r>
    </w:p>
    <w:p>
      <w:pPr>
        <w:pStyle w:val="ListBullet"/>
        <w:spacing w:after="40"/>
      </w:pPr>
      <w:r>
        <w:rPr>
          <w:sz w:val="20"/>
        </w:rPr>
        <w:t>Modifications d'équipements Ex : INTERDITES sans accord organisme certificateur</w:t>
      </w:r>
    </w:p>
    <w:p>
      <w:pPr>
        <w:pStyle w:val="ListBullet"/>
        <w:spacing w:after="40"/>
      </w:pPr>
      <w:r>
        <w:rPr>
          <w:sz w:val="20"/>
        </w:rPr>
        <w:t>Tout remplacement de pièce = pièce d'origine certifiée uniquement</w:t>
      </w:r>
    </w:p>
    <w:p>
      <w:pPr>
        <w:pStyle w:val="ListBullet"/>
        <w:spacing w:after="40"/>
      </w:pPr>
      <w:r>
        <w:rPr>
          <w:sz w:val="20"/>
        </w:rPr>
        <w:t>Chaque intervention documentée dans le registre de l'équipement</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r>
        <w:br w:type="page"/>
      </w:r>
    </w:p>
    <w:p>
      <w:pPr>
        <w:shd w:val="clear" w:color="auto" w:fill="1a4e8c"/>
        <w:spacing w:before="200" w:after="100"/>
      </w:pPr>
      <w:r>
        <w:rPr>
          <w:b/>
          <w:color w:val="FFFFFF"/>
          <w:sz w:val="26"/>
        </w:rPr>
        <w:t>MODULE 9 — CONDUITE À TENIR EN URGENCE</w:t>
      </w:r>
    </w:p>
    <w:p>
      <w:pPr>
        <w:jc w:val="center"/>
      </w:pPr>
      <w:r>
        <w:drawing>
          <wp:inline xmlns:a="http://schemas.openxmlformats.org/drawingml/2006/main" xmlns:pic="http://schemas.openxmlformats.org/drawingml/2006/picture">
            <wp:extent cx="4320000" cy="4320000"/>
            <wp:docPr id="6" name="Picture 6"/>
            <wp:cNvGraphicFramePr>
              <a:graphicFrameLocks noChangeAspect="1"/>
            </wp:cNvGraphicFramePr>
            <a:graphic>
              <a:graphicData uri="http://schemas.openxmlformats.org/drawingml/2006/picture">
                <pic:pic>
                  <pic:nvPicPr>
                    <pic:cNvPr id="0" name="atex-panneau-zone-interdictions.png"/>
                    <pic:cNvPicPr/>
                  </pic:nvPicPr>
                  <pic:blipFill>
                    <a:blip r:embed="rId14"/>
                    <a:stretch>
                      <a:fillRect/>
                    </a:stretch>
                  </pic:blipFill>
                  <pic:spPr>
                    <a:xfrm>
                      <a:off x="0" y="0"/>
                      <a:ext cx="4320000" cy="4320000"/>
                    </a:xfrm>
                    <a:prstGeom prst="rect"/>
                  </pic:spPr>
                </pic:pic>
              </a:graphicData>
            </a:graphic>
          </wp:inline>
        </w:drawing>
      </w:r>
    </w:p>
    <w:p>
      <w:pPr>
        <w:jc w:val="center"/>
      </w:pPr>
      <w:r>
        <w:rPr>
          <w:i/>
          <w:color w:val="888888"/>
          <w:sz w:val="18"/>
        </w:rPr>
        <w:t>Panneau Zone ATEX — 3 interdictions réglementaires : pas de feu, pas de fumée, pas de téléphone non certifié</w:t>
      </w:r>
    </w:p>
    <w:p>
      <w:pPr>
        <w:pBdr>
          <w:bottom w:val="single" w:sz="4" w:color="1a4e8c"/>
        </w:pBdr>
        <w:spacing w:before="160" w:after="80"/>
      </w:pPr>
      <w:r>
        <w:rPr>
          <w:b/>
          <w:color w:val="1A4E8C"/>
          <w:sz w:val="24"/>
        </w:rPr>
        <w:t>9.1 Les interdictions absolues en zone ATEX</w:t>
      </w:r>
    </w:p>
    <w:p>
      <w:pPr>
        <w:pStyle w:val="ListBullet"/>
        <w:spacing w:after="40"/>
      </w:pPr>
      <w:r>
        <w:rPr>
          <w:sz w:val="20"/>
        </w:rPr>
        <w:t>Fumer ou utiliser une flamme nue</w:t>
      </w:r>
    </w:p>
    <w:p>
      <w:pPr>
        <w:pStyle w:val="ListBullet"/>
        <w:spacing w:after="40"/>
      </w:pPr>
      <w:r>
        <w:rPr>
          <w:sz w:val="20"/>
        </w:rPr>
        <w:t>Utiliser un outil produisant des étincelles (acier en zone 0/1)</w:t>
      </w:r>
    </w:p>
    <w:p>
      <w:pPr>
        <w:pStyle w:val="ListBullet"/>
        <w:spacing w:after="40"/>
      </w:pPr>
      <w:r>
        <w:rPr>
          <w:sz w:val="20"/>
        </w:rPr>
        <w:t>Utiliser un équipement électronique non certifié Ex (téléphone, lampe, caméra...)</w:t>
      </w:r>
    </w:p>
    <w:p>
      <w:pPr>
        <w:pStyle w:val="ListBullet"/>
        <w:spacing w:after="40"/>
      </w:pPr>
      <w:r>
        <w:rPr>
          <w:sz w:val="20"/>
        </w:rPr>
        <w:t>Réaliser des travaux par points chauds sans permis de feu</w:t>
      </w:r>
    </w:p>
    <w:p>
      <w:pPr>
        <w:pStyle w:val="ListBullet"/>
        <w:spacing w:after="40"/>
      </w:pPr>
      <w:r>
        <w:rPr>
          <w:sz w:val="20"/>
        </w:rPr>
        <w:t>Entrer sans autorisation de travail valide</w:t>
      </w:r>
    </w:p>
    <w:p>
      <w:pPr>
        <w:pStyle w:val="ListBullet"/>
        <w:spacing w:after="40"/>
      </w:pPr>
      <w:r>
        <w:rPr>
          <w:sz w:val="20"/>
        </w:rPr>
        <w:t>Ignorer une alarme de l'explosimètre</w:t>
      </w:r>
    </w:p>
    <w:p>
      <w:pPr>
        <w:pBdr>
          <w:bottom w:val="single" w:sz="4" w:color="1a4e8c"/>
        </w:pBdr>
        <w:spacing w:before="160" w:after="80"/>
      </w:pPr>
      <w:r>
        <w:rPr>
          <w:b/>
          <w:color w:val="1A4E8C"/>
          <w:sz w:val="24"/>
        </w:rPr>
        <w:t>9.2 Les 4 réflexes PEAS</w:t>
      </w:r>
    </w:p>
    <w:p>
      <w:pPr>
        <w:shd w:val="clear" w:color="auto" w:fill="dbeafe"/>
        <w:spacing w:before="80" w:after="80"/>
        <w:ind w:left="170"/>
      </w:pPr>
      <w:r>
        <w:rPr>
          <w:b/>
          <w:sz w:val="20"/>
        </w:rPr>
        <w:t>PEAS : Protéger → Examiner → Alerter → Secourir</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a4e8c"/>
          </w:tcPr>
          <w:p>
            <w:r>
              <w:rPr>
                <w:b/>
                <w:color w:val="FFFFFF"/>
                <w:sz w:val="19"/>
              </w:rPr>
              <w:t>Étape</w:t>
            </w:r>
          </w:p>
        </w:tc>
        <w:tc>
          <w:tcPr>
            <w:tcW w:type="dxa" w:w="3213"/>
            <w:shd w:val="clear" w:color="auto" w:fill="1a4e8c"/>
          </w:tcPr>
          <w:p>
            <w:r>
              <w:rPr>
                <w:b/>
                <w:color w:val="FFFFFF"/>
                <w:sz w:val="19"/>
              </w:rPr>
              <w:t>Action</w:t>
            </w:r>
          </w:p>
        </w:tc>
        <w:tc>
          <w:tcPr>
            <w:tcW w:type="dxa" w:w="3213"/>
            <w:shd w:val="clear" w:color="auto" w:fill="1a4e8c"/>
          </w:tcPr>
          <w:p>
            <w:r>
              <w:rPr>
                <w:b/>
                <w:color w:val="FFFFFF"/>
                <w:sz w:val="19"/>
              </w:rPr>
              <w:t>Détail</w:t>
            </w:r>
          </w:p>
        </w:tc>
      </w:tr>
      <w:tr>
        <w:tc>
          <w:tcPr>
            <w:tcW w:type="dxa" w:w="3213"/>
            <w:shd w:val="clear" w:color="auto" w:fill="d1fae5"/>
          </w:tcPr>
          <w:p>
            <w:r>
              <w:rPr>
                <w:b/>
                <w:sz w:val="19"/>
              </w:rPr>
              <w:t>P — Protéger</w:t>
            </w:r>
          </w:p>
        </w:tc>
        <w:tc>
          <w:tcPr>
            <w:tcW w:type="dxa" w:w="3213"/>
          </w:tcPr>
          <w:p>
            <w:r>
              <w:rPr>
                <w:b w:val="0"/>
                <w:sz w:val="19"/>
              </w:rPr>
              <w:t>Sécuriser la zone</w:t>
            </w:r>
          </w:p>
        </w:tc>
        <w:tc>
          <w:tcPr>
            <w:tcW w:type="dxa" w:w="3213"/>
          </w:tcPr>
          <w:p>
            <w:r>
              <w:rPr>
                <w:b w:val="0"/>
                <w:sz w:val="19"/>
              </w:rPr>
              <w:t>Identifier les risques persistants. Éloigner les personnes. Éliminer les sources d'inflammation sans créer de nouvelles étincelles.</w:t>
            </w:r>
          </w:p>
        </w:tc>
      </w:tr>
      <w:tr>
        <w:tc>
          <w:tcPr>
            <w:tcW w:type="dxa" w:w="3213"/>
            <w:shd w:val="clear" w:color="auto" w:fill="dbeafe"/>
          </w:tcPr>
          <w:p>
            <w:r>
              <w:rPr>
                <w:b/>
                <w:sz w:val="19"/>
              </w:rPr>
              <w:t>E — Examiner</w:t>
            </w:r>
          </w:p>
        </w:tc>
        <w:tc>
          <w:tcPr>
            <w:tcW w:type="dxa" w:w="3213"/>
          </w:tcPr>
          <w:p>
            <w:r>
              <w:rPr>
                <w:b w:val="0"/>
                <w:sz w:val="19"/>
              </w:rPr>
              <w:t>Évaluer la victime</w:t>
            </w:r>
          </w:p>
        </w:tc>
        <w:tc>
          <w:tcPr>
            <w:tcW w:type="dxa" w:w="3213"/>
          </w:tcPr>
          <w:p>
            <w:r>
              <w:rPr>
                <w:b w:val="0"/>
                <w:sz w:val="19"/>
              </w:rPr>
              <w:t>Est-elle consciente ? Répond-elle ? Respire-t-elle ? → Guide les secours.</w:t>
            </w:r>
          </w:p>
        </w:tc>
      </w:tr>
      <w:tr>
        <w:tc>
          <w:tcPr>
            <w:tcW w:type="dxa" w:w="3213"/>
            <w:shd w:val="clear" w:color="auto" w:fill="fff3cd"/>
          </w:tcPr>
          <w:p>
            <w:r>
              <w:rPr>
                <w:b/>
                <w:sz w:val="19"/>
              </w:rPr>
              <w:t>A — Alerter</w:t>
            </w:r>
          </w:p>
        </w:tc>
        <w:tc>
          <w:tcPr>
            <w:tcW w:type="dxa" w:w="3213"/>
          </w:tcPr>
          <w:p>
            <w:r>
              <w:rPr>
                <w:b w:val="0"/>
                <w:sz w:val="19"/>
              </w:rPr>
              <w:t>Appeler les secours</w:t>
            </w:r>
          </w:p>
        </w:tc>
        <w:tc>
          <w:tcPr>
            <w:tcW w:type="dxa" w:w="3213"/>
          </w:tcPr>
          <w:p>
            <w:r>
              <w:rPr>
                <w:b w:val="0"/>
                <w:sz w:val="19"/>
              </w:rPr>
              <w:t>15 (SAMU), 18 (Pompiers), 112 (Urgences). Donner : lieu exact, produits, nb victimes.</w:t>
            </w:r>
          </w:p>
        </w:tc>
      </w:tr>
      <w:tr>
        <w:tc>
          <w:tcPr>
            <w:tcW w:type="dxa" w:w="3213"/>
            <w:shd w:val="clear" w:color="auto" w:fill="fee2e2"/>
          </w:tcPr>
          <w:p>
            <w:r>
              <w:rPr>
                <w:b/>
                <w:sz w:val="19"/>
              </w:rPr>
              <w:t>S — Secourir</w:t>
            </w:r>
          </w:p>
        </w:tc>
        <w:tc>
          <w:tcPr>
            <w:tcW w:type="dxa" w:w="3213"/>
          </w:tcPr>
          <w:p>
            <w:r>
              <w:rPr>
                <w:b w:val="0"/>
                <w:sz w:val="19"/>
              </w:rPr>
              <w:t>Gestes de 1ers secours</w:t>
            </w:r>
          </w:p>
        </w:tc>
        <w:tc>
          <w:tcPr>
            <w:tcW w:type="dxa" w:w="3213"/>
          </w:tcPr>
          <w:p>
            <w:r>
              <w:rPr>
                <w:b w:val="0"/>
                <w:sz w:val="19"/>
              </w:rPr>
              <w:t>PLS, MCE si formé. NE PAS entrer dans une atmosphère explosive sans EPI adapté.</w:t>
            </w:r>
          </w:p>
        </w:tc>
      </w:tr>
    </w:tbl>
    <w:p>
      <w:pPr>
        <w:shd w:val="clear" w:color="auto" w:fill="dbeafe"/>
        <w:spacing w:before="80" w:after="80"/>
        <w:ind w:left="170"/>
      </w:pPr>
      <w:r>
        <w:rPr>
          <w:b/>
          <w:sz w:val="20"/>
        </w:rPr>
        <w:t>Points clés à retenir</w:t>
      </w:r>
    </w:p>
    <w:p>
      <w:pPr>
        <w:pStyle w:val="ListBullet"/>
        <w:spacing w:after="40"/>
      </w:pPr>
      <w:r>
        <w:rPr>
          <w:sz w:val="20"/>
        </w:rPr>
        <w:t>Alarme explosimètre : ARRÊT IMMÉDIAT + évacuation calme + alerte responsable</w:t>
      </w:r>
    </w:p>
    <w:p>
      <w:pPr>
        <w:pStyle w:val="ListBullet"/>
        <w:spacing w:after="40"/>
      </w:pPr>
      <w:r>
        <w:rPr>
          <w:sz w:val="20"/>
        </w:rPr>
        <w:t>Ne pas courir (éviter les étincelles mécaniques par choc)</w:t>
      </w:r>
    </w:p>
    <w:p>
      <w:pPr>
        <w:pStyle w:val="ListBullet"/>
        <w:spacing w:after="40"/>
      </w:pPr>
      <w:r>
        <w:rPr>
          <w:sz w:val="20"/>
        </w:rPr>
        <w:t>Ne pas allumer/éteindre une source électrique en quittant la zone</w:t>
      </w:r>
    </w:p>
    <w:p>
      <w:pPr>
        <w:pStyle w:val="ListBullet"/>
        <w:spacing w:after="40"/>
      </w:pPr>
      <w:r>
        <w:rPr>
          <w:sz w:val="20"/>
        </w:rPr>
        <w:t>PEAS = réflexe conditionné — s'entraîner régulièrement</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r>
        <w:br w:type="page"/>
      </w:r>
    </w:p>
    <w:p>
      <w:pPr>
        <w:shd w:val="clear" w:color="auto" w:fill="1a4e8c"/>
        <w:spacing w:before="200" w:after="100"/>
      </w:pPr>
      <w:r>
        <w:rPr>
          <w:b/>
          <w:color w:val="FFFFFF"/>
          <w:sz w:val="26"/>
        </w:rPr>
        <w:t>MODULE 10 — SPÉCIFICITÉS ÉLECTRIQUES ATEX</w:t>
      </w:r>
    </w:p>
    <w:p>
      <w:pPr>
        <w:pBdr>
          <w:bottom w:val="single" w:sz="4" w:color="1a4e8c"/>
        </w:pBdr>
        <w:spacing w:before="160" w:after="80"/>
      </w:pPr>
      <w:r>
        <w:rPr>
          <w:b/>
          <w:color w:val="1A4E8C"/>
          <w:sz w:val="24"/>
        </w:rPr>
        <w:t>10.1 Câblage et presse-étoupe Ex</w:t>
      </w:r>
    </w:p>
    <w:p>
      <w:pPr>
        <w:pStyle w:val="ListBullet"/>
        <w:spacing w:after="40"/>
      </w:pPr>
      <w:r>
        <w:rPr>
          <w:sz w:val="20"/>
        </w:rPr>
        <w:t>Presse-étoupe certifiés Ex : maintien de l'intégrité du boîtier après câblage</w:t>
      </w:r>
    </w:p>
    <w:p>
      <w:pPr>
        <w:pStyle w:val="ListBullet"/>
        <w:spacing w:after="40"/>
      </w:pPr>
      <w:r>
        <w:rPr>
          <w:sz w:val="20"/>
        </w:rPr>
        <w:t>Section de câble adaptée selon la norme EN 60079-14 (conception et installation)</w:t>
      </w:r>
    </w:p>
    <w:p>
      <w:pPr>
        <w:pStyle w:val="ListBullet"/>
        <w:spacing w:after="40"/>
      </w:pPr>
      <w:r>
        <w:rPr>
          <w:sz w:val="20"/>
        </w:rPr>
        <w:t>Liaisons équipotentielles : égalisation des potentiels pour éviter les décharges électrostatiques entre équipements</w:t>
      </w:r>
    </w:p>
    <w:p>
      <w:pPr>
        <w:pStyle w:val="ListBullet"/>
        <w:spacing w:after="40"/>
      </w:pPr>
      <w:r>
        <w:rPr>
          <w:sz w:val="20"/>
        </w:rPr>
        <w:t>Mise à la terre de tous les équipements conducteurs avant utilisation en zone ATEX</w:t>
      </w:r>
    </w:p>
    <w:p>
      <w:pPr>
        <w:pBdr>
          <w:bottom w:val="single" w:sz="4" w:color="1a4e8c"/>
        </w:pBdr>
        <w:spacing w:before="160" w:after="80"/>
      </w:pPr>
      <w:r>
        <w:rPr>
          <w:b/>
          <w:color w:val="1A4E8C"/>
          <w:sz w:val="24"/>
        </w:rPr>
        <w:t>10.2 Armoires électriques Ex (mode p — surpression interne)</w:t>
      </w:r>
    </w:p>
    <w:p>
      <w:pPr>
        <w:pStyle w:val="ListBullet"/>
        <w:spacing w:after="40"/>
      </w:pPr>
      <w:r>
        <w:rPr>
          <w:sz w:val="20"/>
        </w:rPr>
        <w:t>Maintien d'une surpression d'air ou gaz inerte à l'intérieur de l'armoire</w:t>
      </w:r>
    </w:p>
    <w:p>
      <w:pPr>
        <w:pStyle w:val="ListBullet"/>
        <w:spacing w:after="40"/>
      </w:pPr>
      <w:r>
        <w:rPr>
          <w:sz w:val="20"/>
        </w:rPr>
        <w:t>Purge obligatoire avant mise sous tension — séquence de démarrage à respecter</w:t>
      </w:r>
    </w:p>
    <w:p>
      <w:pPr>
        <w:pStyle w:val="ListBullet"/>
        <w:spacing w:after="40"/>
      </w:pPr>
      <w:r>
        <w:rPr>
          <w:sz w:val="20"/>
        </w:rPr>
        <w:t>Alarme de pression : si la surpression chute, l'armoire doit se mettre hors tension automatiquement</w:t>
      </w:r>
    </w:p>
    <w:p>
      <w:pPr>
        <w:shd w:val="clear" w:color="auto" w:fill="dbeafe"/>
        <w:spacing w:before="80" w:after="80"/>
        <w:ind w:left="170"/>
      </w:pPr>
      <w:r>
        <w:rPr>
          <w:b/>
          <w:sz w:val="20"/>
        </w:rPr>
        <w:t>Points clés à retenir</w:t>
      </w:r>
    </w:p>
    <w:p>
      <w:pPr>
        <w:pStyle w:val="ListBullet"/>
        <w:spacing w:after="40"/>
      </w:pPr>
      <w:r>
        <w:rPr>
          <w:sz w:val="20"/>
        </w:rPr>
        <w:t>EN 60079-14 : conception et installation électrique en zone ATEX</w:t>
      </w:r>
    </w:p>
    <w:p>
      <w:pPr>
        <w:pStyle w:val="ListBullet"/>
        <w:spacing w:after="40"/>
      </w:pPr>
      <w:r>
        <w:rPr>
          <w:sz w:val="20"/>
        </w:rPr>
        <w:t>Presse-étoupe Ex = élément critique — vérifier intégrité après toute intervention de câblage</w:t>
      </w:r>
    </w:p>
    <w:p>
      <w:pPr>
        <w:pStyle w:val="ListBullet"/>
        <w:spacing w:after="40"/>
      </w:pPr>
      <w:r>
        <w:rPr>
          <w:sz w:val="20"/>
        </w:rPr>
        <w:t>Liaison équipotentielle de tous les équipements conducteurs avant utilisation</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pPr>
        <w:shd w:val="clear" w:color="auto" w:fill="1a4e8c"/>
        <w:spacing w:before="200" w:after="100"/>
      </w:pPr>
      <w:r>
        <w:rPr>
          <w:b/>
          <w:color w:val="FFFFFF"/>
          <w:sz w:val="26"/>
        </w:rPr>
        <w:t>MODULE 11 — SPÉCIFICITÉS MÉCANIQUES ATEX</w:t>
      </w:r>
    </w:p>
    <w:p>
      <w:pPr>
        <w:pBdr>
          <w:bottom w:val="single" w:sz="4" w:color="1a4e8c"/>
        </w:pBdr>
        <w:spacing w:before="160" w:after="80"/>
      </w:pPr>
      <w:r>
        <w:rPr>
          <w:b/>
          <w:color w:val="1A4E8C"/>
          <w:sz w:val="24"/>
        </w:rPr>
        <w:t>11.1 Équipements mécaniques non électriques (directive 2014/34/UE)</w:t>
      </w:r>
    </w:p>
    <w:p>
      <w:pPr>
        <w:pStyle w:val="ListBullet"/>
        <w:spacing w:after="40"/>
      </w:pPr>
      <w:r>
        <w:rPr>
          <w:sz w:val="20"/>
        </w:rPr>
        <w:t>Pompes, compresseurs, ventilateurs, convoyeurs : sources de chaleur par friction + étincelles mécaniques par choc</w:t>
      </w:r>
    </w:p>
    <w:p>
      <w:pPr>
        <w:pStyle w:val="ListBullet"/>
        <w:spacing w:after="40"/>
      </w:pPr>
      <w:r>
        <w:rPr>
          <w:sz w:val="20"/>
        </w:rPr>
        <w:t>Normes EN ISO 80079-36 et EN ISO 80079-37 : équipements non électriques ATEX</w:t>
      </w:r>
    </w:p>
    <w:p>
      <w:pPr>
        <w:pStyle w:val="ListBullet"/>
        <w:spacing w:after="40"/>
      </w:pPr>
      <w:r>
        <w:rPr>
          <w:sz w:val="20"/>
        </w:rPr>
        <w:t>Jeu pale/carter sur ventilateurs ATEX : calculé pour éviter tout contact même en vibration anormale</w:t>
      </w:r>
    </w:p>
    <w:p>
      <w:pPr>
        <w:pStyle w:val="ListBullet"/>
        <w:spacing w:after="40"/>
      </w:pPr>
      <w:r>
        <w:rPr>
          <w:sz w:val="20"/>
        </w:rPr>
        <w:t>Joints mécaniques : étanchéité critique — toute fuite = anomalie à signaler immédiatement</w:t>
      </w:r>
    </w:p>
    <w:p>
      <w:pPr>
        <w:pBdr>
          <w:bottom w:val="single" w:sz="4" w:color="1a4e8c"/>
        </w:pBdr>
        <w:spacing w:before="160" w:after="80"/>
      </w:pPr>
      <w:r>
        <w:rPr>
          <w:b/>
          <w:color w:val="1A4E8C"/>
          <w:sz w:val="24"/>
        </w:rPr>
        <w:t>11.2 Lubrification et friction</w:t>
      </w:r>
    </w:p>
    <w:p>
      <w:pPr>
        <w:pStyle w:val="ListBullet"/>
        <w:spacing w:after="40"/>
      </w:pPr>
      <w:r>
        <w:rPr>
          <w:sz w:val="20"/>
        </w:rPr>
        <w:t>La lubrification insuffisante → échauffement → température de surface pouvant atteindre la TAI du produit</w:t>
      </w:r>
    </w:p>
    <w:p>
      <w:pPr>
        <w:pStyle w:val="ListBullet"/>
        <w:spacing w:after="40"/>
      </w:pPr>
      <w:r>
        <w:rPr>
          <w:sz w:val="20"/>
        </w:rPr>
        <w:t>Vérifier l'état et le niveau de lubrification avant toute mise en route en zone ATEX</w:t>
      </w:r>
    </w:p>
    <w:p>
      <w:pPr>
        <w:pStyle w:val="ListBullet"/>
        <w:spacing w:after="40"/>
      </w:pPr>
      <w:r>
        <w:rPr>
          <w:sz w:val="20"/>
        </w:rPr>
        <w:t>Graisse et huile de lubrification compatibles avec l'atmosphère présente (inertage éventuel)</w:t>
      </w:r>
    </w:p>
    <w:p>
      <w:pPr>
        <w:shd w:val="clear" w:color="auto" w:fill="dbeafe"/>
        <w:spacing w:before="80" w:after="80"/>
        <w:ind w:left="170"/>
      </w:pPr>
      <w:r>
        <w:rPr>
          <w:b/>
          <w:sz w:val="20"/>
        </w:rPr>
        <w:t>Points clés à retenir</w:t>
      </w:r>
    </w:p>
    <w:p>
      <w:pPr>
        <w:pStyle w:val="ListBullet"/>
        <w:spacing w:after="40"/>
      </w:pPr>
      <w:r>
        <w:rPr>
          <w:sz w:val="20"/>
        </w:rPr>
        <w:t>Équipements mécaniques non électriques : normes EN ISO 80079-36 et 80079-37</w:t>
      </w:r>
    </w:p>
    <w:p>
      <w:pPr>
        <w:pStyle w:val="ListBullet"/>
        <w:spacing w:after="40"/>
      </w:pPr>
      <w:r>
        <w:rPr>
          <w:sz w:val="20"/>
        </w:rPr>
        <w:t>Ventilateur ATEX : roue en alliage non ferreux anti-étincelles + jeu roue/carter garanti</w:t>
      </w:r>
    </w:p>
    <w:p>
      <w:pPr>
        <w:pStyle w:val="ListBullet"/>
        <w:spacing w:after="40"/>
      </w:pPr>
      <w:r>
        <w:rPr>
          <w:sz w:val="20"/>
        </w:rPr>
        <w:t>Toute vibration anormale ou anomalie mécanique = arrêt + signalement immédiat</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r>
        <w:br w:type="page"/>
      </w:r>
    </w:p>
    <w:p>
      <w:pPr>
        <w:shd w:val="clear" w:color="auto" w:fill="1a4e8c"/>
        <w:spacing w:before="200" w:after="100"/>
      </w:pPr>
      <w:r>
        <w:rPr>
          <w:b/>
          <w:color w:val="FFFFFF"/>
          <w:sz w:val="26"/>
        </w:rPr>
        <w:t>MODULE 12 — SYNTHÈSE : LES RÈGLES DE L'INTERVENANT ATEX</w:t>
      </w:r>
    </w:p>
    <w:p>
      <w:pPr>
        <w:jc w:val="center"/>
      </w:pPr>
      <w:r>
        <w:drawing>
          <wp:inline xmlns:a="http://schemas.openxmlformats.org/drawingml/2006/main" xmlns:pic="http://schemas.openxmlformats.org/drawingml/2006/picture">
            <wp:extent cx="5040000" cy="7098592"/>
            <wp:docPr id="7" name="Picture 7"/>
            <wp:cNvGraphicFramePr>
              <a:graphicFrameLocks noChangeAspect="1"/>
            </wp:cNvGraphicFramePr>
            <a:graphic>
              <a:graphicData uri="http://schemas.openxmlformats.org/drawingml/2006/picture">
                <pic:pic>
                  <pic:nvPicPr>
                    <pic:cNvPr id="0" name="atex-bonnes-pratiques-inrs.png"/>
                    <pic:cNvPicPr/>
                  </pic:nvPicPr>
                  <pic:blipFill>
                    <a:blip r:embed="rId15"/>
                    <a:stretch>
                      <a:fillRect/>
                    </a:stretch>
                  </pic:blipFill>
                  <pic:spPr>
                    <a:xfrm>
                      <a:off x="0" y="0"/>
                      <a:ext cx="5040000" cy="7098592"/>
                    </a:xfrm>
                    <a:prstGeom prst="rect"/>
                  </pic:spPr>
                </pic:pic>
              </a:graphicData>
            </a:graphic>
          </wp:inline>
        </w:drawing>
      </w:r>
    </w:p>
    <w:p>
      <w:pPr>
        <w:jc w:val="center"/>
      </w:pPr>
      <w:r>
        <w:rPr>
          <w:i/>
          <w:color w:val="888888"/>
          <w:sz w:val="18"/>
        </w:rPr>
        <w:t>INRS — Atmosphères explosives : les bonnes pratiques ATEX (affiche officielle)</w:t>
      </w:r>
    </w:p>
    <w:p>
      <w:pPr>
        <w:pBdr>
          <w:bottom w:val="single" w:sz="4" w:color="1a4e8c"/>
        </w:pBdr>
        <w:spacing w:before="160" w:after="80"/>
      </w:pPr>
      <w:r>
        <w:rPr>
          <w:b/>
          <w:color w:val="1A4E8C"/>
          <w:sz w:val="24"/>
        </w:rPr>
        <w:t>Les 10 règles fondamentales de l'intervenant ATEX</w:t>
      </w:r>
    </w:p>
    <w:p>
      <w:pPr>
        <w:pStyle w:val="ListBullet"/>
        <w:spacing w:after="40"/>
      </w:pPr>
      <w:r>
        <w:rPr>
          <w:sz w:val="20"/>
        </w:rPr>
        <w:t>1. Je connais la classification ATEX de la zone avant d'y entrer (zone 0/1/2 ou 20/21/22).</w:t>
      </w:r>
    </w:p>
    <w:p>
      <w:pPr>
        <w:pStyle w:val="ListBullet"/>
        <w:spacing w:after="40"/>
      </w:pPr>
      <w:r>
        <w:rPr>
          <w:sz w:val="20"/>
        </w:rPr>
        <w:t>2. Je possède une autorisation de travail (AT) valide avant toute intervention.</w:t>
      </w:r>
    </w:p>
    <w:p>
      <w:pPr>
        <w:pStyle w:val="ListBullet"/>
        <w:spacing w:after="40"/>
      </w:pPr>
      <w:r>
        <w:rPr>
          <w:sz w:val="20"/>
        </w:rPr>
        <w:t>3. Je porte tous mes EPI certifiés : casque ESD, combinaison antistatique, gants EN 60903, chaussures ESD.</w:t>
      </w:r>
    </w:p>
    <w:p>
      <w:pPr>
        <w:pStyle w:val="ListBullet"/>
        <w:spacing w:after="40"/>
      </w:pPr>
      <w:r>
        <w:rPr>
          <w:sz w:val="20"/>
        </w:rPr>
        <w:t>4. J'utilise uniquement des équipements certifiés Ex adaptés à la zone concernée.</w:t>
      </w:r>
    </w:p>
    <w:p>
      <w:pPr>
        <w:pStyle w:val="ListBullet"/>
        <w:spacing w:after="40"/>
      </w:pPr>
      <w:r>
        <w:rPr>
          <w:sz w:val="20"/>
        </w:rPr>
        <w:t>5. Je contrôle l'atmosphère avec mon explosimètre certifié Ex (bump test fait, alarme à 20% LIE).</w:t>
      </w:r>
    </w:p>
    <w:p>
      <w:pPr>
        <w:pStyle w:val="ListBullet"/>
        <w:spacing w:after="40"/>
      </w:pPr>
      <w:r>
        <w:rPr>
          <w:sz w:val="20"/>
        </w:rPr>
        <w:t>6. Je n'utilise jamais de téléphone portable standard, lampe ordinaire ou appareil électronique non certifié.</w:t>
      </w:r>
    </w:p>
    <w:p>
      <w:pPr>
        <w:pStyle w:val="ListBullet"/>
        <w:spacing w:after="40"/>
      </w:pPr>
      <w:r>
        <w:rPr>
          <w:sz w:val="20"/>
        </w:rPr>
        <w:t>7. J'interdis absolument de fumer ou d'utiliser une flamme nue en zone ATEX.</w:t>
      </w:r>
    </w:p>
    <w:p>
      <w:pPr>
        <w:pStyle w:val="ListBullet"/>
        <w:spacing w:after="40"/>
      </w:pPr>
      <w:r>
        <w:rPr>
          <w:sz w:val="20"/>
        </w:rPr>
        <w:t>8. J'obtiens un permis de feu avant tout travail par points chauds (soudure, meulage, découpe).</w:t>
      </w:r>
    </w:p>
    <w:p>
      <w:pPr>
        <w:pStyle w:val="ListBullet"/>
        <w:spacing w:after="40"/>
      </w:pPr>
      <w:r>
        <w:rPr>
          <w:sz w:val="20"/>
        </w:rPr>
        <w:t>9. Je signale immédiatement toute fuite, anomalie d'équipement ou dégradation de signalisation.</w:t>
      </w:r>
    </w:p>
    <w:p>
      <w:pPr>
        <w:pStyle w:val="ListBullet"/>
        <w:spacing w:after="40"/>
      </w:pPr>
      <w:r>
        <w:rPr>
          <w:sz w:val="20"/>
        </w:rPr>
        <w:t>10. En cas d'alarme : j'arrête immédiatement, j'évacue calmement, j'alerte mon responsable (PEAS).</w:t>
      </w:r>
    </w:p>
    <w:p>
      <w:pPr>
        <w:shd w:val="clear" w:color="auto" w:fill="dbeafe"/>
        <w:spacing w:before="80" w:after="80"/>
        <w:ind w:left="170"/>
      </w:pPr>
      <w:r>
        <w:rPr>
          <w:b/>
          <w:sz w:val="20"/>
        </w:rPr>
        <w:t>Points clés à retenir</w:t>
      </w:r>
    </w:p>
    <w:p>
      <w:pPr>
        <w:pStyle w:val="ListBullet"/>
        <w:spacing w:after="40"/>
      </w:pPr>
      <w:r>
        <w:rPr>
          <w:sz w:val="20"/>
        </w:rPr>
        <w:t>AT + EPI + explosimètre = trio indispensable avant toute intervention</w:t>
      </w:r>
    </w:p>
    <w:p>
      <w:pPr>
        <w:pStyle w:val="ListBullet"/>
        <w:spacing w:after="40"/>
      </w:pPr>
      <w:r>
        <w:rPr>
          <w:sz w:val="20"/>
        </w:rPr>
        <w:t>Zéro improvisation, zéro tolérance pour les équipements non certifiés</w:t>
      </w:r>
    </w:p>
    <w:p>
      <w:pPr>
        <w:pStyle w:val="ListBullet"/>
        <w:spacing w:after="40"/>
      </w:pPr>
      <w:r>
        <w:rPr>
          <w:sz w:val="20"/>
        </w:rPr>
        <w:t>Signalement systématique de toute anomalie, même mineure</w:t>
      </w:r>
    </w:p>
    <w:p>
      <w:pPr>
        <w:pStyle w:val="ListBullet"/>
        <w:spacing w:after="40"/>
      </w:pPr>
      <w:r>
        <w:rPr>
          <w:sz w:val="20"/>
        </w:rPr>
        <w:t>La prévention ATEX est l'affaire de tous : employeur ET salarié</w:t>
      </w:r>
    </w:p>
    <w:p>
      <w:pPr>
        <w:spacing w:after="60"/>
      </w:pPr>
      <w:r>
        <w:rPr>
          <w:b w:val="0"/>
          <w:i/>
          <w:color w:val="888888"/>
          <w:sz w:val="19"/>
        </w:rPr>
        <w:t>Notes :</w:t>
      </w:r>
    </w:p>
    <w:p>
      <w:pPr>
        <w:pBdr>
          <w:bottom w:val="single" w:sz="4" w:space="1" w:color="CCCCCC"/>
        </w:pBdr>
        <w:spacing w:after="240"/>
      </w:pPr>
    </w:p>
    <w:p>
      <w:pPr>
        <w:pBdr>
          <w:bottom w:val="single" w:sz="4" w:space="1" w:color="CCCCCC"/>
        </w:pBdr>
        <w:spacing w:after="240"/>
      </w:pPr>
    </w:p>
    <w:p>
      <w:pPr>
        <w:pBdr>
          <w:bottom w:val="single" w:sz="4" w:space="1" w:color="CCCCCC"/>
        </w:pBdr>
        <w:spacing w:after="240"/>
      </w:pPr>
    </w:p>
    <w:p>
      <w:pPr>
        <w:pBdr>
          <w:bottom w:val="single" w:sz="4" w:color="CCCCCC"/>
        </w:pBdr>
        <w:spacing w:before="100" w:after="100"/>
      </w:pPr>
    </w:p>
    <w:p>
      <w:r>
        <w:br w:type="page"/>
      </w:r>
    </w:p>
    <w:p>
      <w:pPr>
        <w:shd w:val="clear" w:color="auto" w:fill="e67e00"/>
        <w:spacing w:before="200" w:after="100"/>
      </w:pPr>
      <w:r>
        <w:rPr>
          <w:b/>
          <w:color w:val="FFFFFF"/>
          <w:sz w:val="26"/>
        </w:rPr>
        <w:t>QCM D'ÉVALUATION — 15 QUESTIONS</w:t>
      </w:r>
    </w:p>
    <w:p>
      <w:pPr>
        <w:shd w:val="clear" w:color="auto" w:fill="fff3cd"/>
        <w:spacing w:before="80" w:after="80"/>
        <w:ind w:left="170"/>
      </w:pPr>
      <w:r>
        <w:rPr>
          <w:b/>
          <w:sz w:val="20"/>
        </w:rPr>
        <w:t>15 questions — Cochez la bonne réponse — Seuil de réussite : 80% (≥ 12/15)</w:t>
      </w:r>
    </w:p>
    <w:p/>
    <w:p>
      <w:pPr>
        <w:spacing w:before="160" w:after="60"/>
      </w:pPr>
      <w:r>
        <w:rPr>
          <w:b/>
          <w:color w:val="1A4E8C"/>
          <w:sz w:val="21"/>
        </w:rPr>
        <w:t>Question 1 — Que signifie LIE en ATEX ?</w:t>
      </w:r>
    </w:p>
    <w:p>
      <w:pPr>
        <w:spacing w:after="40"/>
        <w:ind w:left="567"/>
      </w:pPr>
      <w:r>
        <w:rPr>
          <w:sz w:val="20"/>
        </w:rPr>
        <w:t>A.  Limite d'Inflammation Électrique</w:t>
      </w:r>
    </w:p>
    <w:p>
      <w:pPr>
        <w:spacing w:after="40"/>
        <w:ind w:left="567"/>
      </w:pPr>
      <w:r>
        <w:rPr>
          <w:sz w:val="20"/>
        </w:rPr>
        <w:t>B.  Limite Inférieure d'Explosivité</w:t>
      </w:r>
    </w:p>
    <w:p>
      <w:pPr>
        <w:spacing w:after="40"/>
        <w:ind w:left="567"/>
      </w:pPr>
      <w:r>
        <w:rPr>
          <w:sz w:val="20"/>
        </w:rPr>
        <w:t>C.  Limite d'Intervention en zone Explosive</w:t>
      </w:r>
    </w:p>
    <w:p>
      <w:pPr>
        <w:spacing w:after="40"/>
        <w:ind w:left="567"/>
      </w:pPr>
      <w:r>
        <w:rPr>
          <w:sz w:val="20"/>
        </w:rPr>
        <w:t>D.  Limite Industrielle d'Évaluation</w:t>
      </w:r>
    </w:p>
    <w:p/>
    <w:p>
      <w:pPr>
        <w:spacing w:before="160" w:after="60"/>
      </w:pPr>
      <w:r>
        <w:rPr>
          <w:b/>
          <w:color w:val="1A4E8C"/>
          <w:sz w:val="21"/>
        </w:rPr>
        <w:t>Question 2 — Quelle zone ATEX correspond à un risque permanent de présence d'atmosphère explosive gazeuse ?</w:t>
      </w:r>
    </w:p>
    <w:p>
      <w:pPr>
        <w:spacing w:after="40"/>
        <w:ind w:left="567"/>
      </w:pPr>
      <w:r>
        <w:rPr>
          <w:sz w:val="20"/>
        </w:rPr>
        <w:t>A.  Zone 2</w:t>
      </w:r>
    </w:p>
    <w:p>
      <w:pPr>
        <w:spacing w:after="40"/>
        <w:ind w:left="567"/>
      </w:pPr>
      <w:r>
        <w:rPr>
          <w:sz w:val="20"/>
        </w:rPr>
        <w:t>B.  Zone 1</w:t>
      </w:r>
    </w:p>
    <w:p>
      <w:pPr>
        <w:spacing w:after="40"/>
        <w:ind w:left="567"/>
      </w:pPr>
      <w:r>
        <w:rPr>
          <w:sz w:val="20"/>
        </w:rPr>
        <w:t>C.  Zone 0</w:t>
      </w:r>
    </w:p>
    <w:p>
      <w:pPr>
        <w:spacing w:after="40"/>
        <w:ind w:left="567"/>
      </w:pPr>
      <w:r>
        <w:rPr>
          <w:sz w:val="20"/>
        </w:rPr>
        <w:t>D.  Zone 20</w:t>
      </w:r>
    </w:p>
    <w:p/>
    <w:p>
      <w:pPr>
        <w:spacing w:before="160" w:after="60"/>
      </w:pPr>
      <w:r>
        <w:rPr>
          <w:b/>
          <w:color w:val="1A4E8C"/>
          <w:sz w:val="21"/>
        </w:rPr>
        <w:t>Question 3 — À quel pourcentage de la LIE l'alarme basse d'un explosimètre doit-elle se déclencher ?</w:t>
      </w:r>
    </w:p>
    <w:p>
      <w:pPr>
        <w:spacing w:after="40"/>
        <w:ind w:left="567"/>
      </w:pPr>
      <w:r>
        <w:rPr>
          <w:sz w:val="20"/>
        </w:rPr>
        <w:t>A.  5%</w:t>
      </w:r>
    </w:p>
    <w:p>
      <w:pPr>
        <w:spacing w:after="40"/>
        <w:ind w:left="567"/>
      </w:pPr>
      <w:r>
        <w:rPr>
          <w:sz w:val="20"/>
        </w:rPr>
        <w:t>B.  10%</w:t>
      </w:r>
    </w:p>
    <w:p>
      <w:pPr>
        <w:spacing w:after="40"/>
        <w:ind w:left="567"/>
      </w:pPr>
      <w:r>
        <w:rPr>
          <w:sz w:val="20"/>
        </w:rPr>
        <w:t>C.  20%</w:t>
      </w:r>
    </w:p>
    <w:p>
      <w:pPr>
        <w:spacing w:after="40"/>
        <w:ind w:left="567"/>
      </w:pPr>
      <w:r>
        <w:rPr>
          <w:sz w:val="20"/>
        </w:rPr>
        <w:t>D.  50%</w:t>
      </w:r>
    </w:p>
    <w:p/>
    <w:p>
      <w:pPr>
        <w:spacing w:before="160" w:after="60"/>
      </w:pPr>
      <w:r>
        <w:rPr>
          <w:b/>
          <w:color w:val="1A4E8C"/>
          <w:sz w:val="21"/>
        </w:rPr>
        <w:t>Question 4 — Quelle norme régit les vêtements antistatiques en zone ATEX ?</w:t>
      </w:r>
    </w:p>
    <w:p>
      <w:pPr>
        <w:spacing w:after="40"/>
        <w:ind w:left="567"/>
      </w:pPr>
      <w:r>
        <w:rPr>
          <w:sz w:val="20"/>
        </w:rPr>
        <w:t>A.  EN 345</w:t>
      </w:r>
    </w:p>
    <w:p>
      <w:pPr>
        <w:spacing w:after="40"/>
        <w:ind w:left="567"/>
      </w:pPr>
      <w:r>
        <w:rPr>
          <w:sz w:val="20"/>
        </w:rPr>
        <w:t>B.  EN 1149-5</w:t>
      </w:r>
    </w:p>
    <w:p>
      <w:pPr>
        <w:spacing w:after="40"/>
        <w:ind w:left="567"/>
      </w:pPr>
      <w:r>
        <w:rPr>
          <w:sz w:val="20"/>
        </w:rPr>
        <w:t>C.  EN 60903</w:t>
      </w:r>
    </w:p>
    <w:p>
      <w:pPr>
        <w:spacing w:after="40"/>
        <w:ind w:left="567"/>
      </w:pPr>
      <w:r>
        <w:rPr>
          <w:sz w:val="20"/>
        </w:rPr>
        <w:t>D.  EN 397</w:t>
      </w:r>
    </w:p>
    <w:p/>
    <w:p>
      <w:pPr>
        <w:spacing w:before="160" w:after="60"/>
      </w:pPr>
      <w:r>
        <w:rPr>
          <w:b/>
          <w:color w:val="1A4E8C"/>
          <w:sz w:val="21"/>
        </w:rPr>
        <w:t>Question 5 — Que signifie "IIC" dans un marquage Ex ?</w:t>
      </w:r>
    </w:p>
    <w:p>
      <w:pPr>
        <w:spacing w:after="40"/>
        <w:ind w:left="567"/>
      </w:pPr>
      <w:r>
        <w:rPr>
          <w:sz w:val="20"/>
        </w:rPr>
        <w:t>A.  Intensité Instantanée de Combustion</w:t>
      </w:r>
    </w:p>
    <w:p>
      <w:pPr>
        <w:spacing w:after="40"/>
        <w:ind w:left="567"/>
      </w:pPr>
      <w:r>
        <w:rPr>
          <w:sz w:val="20"/>
        </w:rPr>
        <w:t>B.  Groupe de gaz le plus exigeant (H₂, acétylène)</w:t>
      </w:r>
    </w:p>
    <w:p>
      <w:pPr>
        <w:spacing w:after="40"/>
        <w:ind w:left="567"/>
      </w:pPr>
      <w:r>
        <w:rPr>
          <w:sz w:val="20"/>
        </w:rPr>
        <w:t>C.  Indice d'Inflammation par Conduction</w:t>
      </w:r>
    </w:p>
    <w:p>
      <w:pPr>
        <w:spacing w:after="40"/>
        <w:ind w:left="567"/>
      </w:pPr>
      <w:r>
        <w:rPr>
          <w:sz w:val="20"/>
        </w:rPr>
        <w:t>D.  Catégorie 2 Industrie de surface</w:t>
      </w:r>
    </w:p>
    <w:p/>
    <w:p>
      <w:pPr>
        <w:spacing w:before="160" w:after="60"/>
      </w:pPr>
      <w:r>
        <w:rPr>
          <w:b/>
          <w:color w:val="1A4E8C"/>
          <w:sz w:val="21"/>
        </w:rPr>
        <w:t>Question 6 — Quel document est OBLIGATOIRE avant des travaux de soudure à proximité d'une zone ATEX ?</w:t>
      </w:r>
    </w:p>
    <w:p>
      <w:pPr>
        <w:spacing w:after="40"/>
        <w:ind w:left="567"/>
      </w:pPr>
      <w:r>
        <w:rPr>
          <w:sz w:val="20"/>
        </w:rPr>
        <w:t>A.  Une note de service</w:t>
      </w:r>
    </w:p>
    <w:p>
      <w:pPr>
        <w:spacing w:after="40"/>
        <w:ind w:left="567"/>
      </w:pPr>
      <w:r>
        <w:rPr>
          <w:sz w:val="20"/>
        </w:rPr>
        <w:t>B.  Le permis de feu + autorisation de travail</w:t>
      </w:r>
    </w:p>
    <w:p>
      <w:pPr>
        <w:spacing w:after="40"/>
        <w:ind w:left="567"/>
      </w:pPr>
      <w:r>
        <w:rPr>
          <w:sz w:val="20"/>
        </w:rPr>
        <w:t>C.  L'accord du chef de département</w:t>
      </w:r>
    </w:p>
    <w:p>
      <w:pPr>
        <w:spacing w:after="40"/>
        <w:ind w:left="567"/>
      </w:pPr>
      <w:r>
        <w:rPr>
          <w:sz w:val="20"/>
        </w:rPr>
        <w:t>D.  L'attestation de formation ATEX du soudeur</w:t>
      </w:r>
    </w:p>
    <w:p/>
    <w:p>
      <w:pPr>
        <w:spacing w:before="160" w:after="60"/>
      </w:pPr>
      <w:r>
        <w:rPr>
          <w:b/>
          <w:color w:val="1A4E8C"/>
          <w:sz w:val="21"/>
        </w:rPr>
        <w:t>Question 7 — Que faire en PREMIER si l'alarme de votre explosimètre se déclenche ?</w:t>
      </w:r>
    </w:p>
    <w:p>
      <w:pPr>
        <w:spacing w:after="40"/>
        <w:ind w:left="567"/>
      </w:pPr>
      <w:r>
        <w:rPr>
          <w:sz w:val="20"/>
        </w:rPr>
        <w:t>A.  Continuer si l'intervention est presque terminée</w:t>
      </w:r>
    </w:p>
    <w:p>
      <w:pPr>
        <w:spacing w:after="40"/>
        <w:ind w:left="567"/>
      </w:pPr>
      <w:r>
        <w:rPr>
          <w:sz w:val="20"/>
        </w:rPr>
        <w:t>B.  Ouvrir une fenêtre pour ventiler</w:t>
      </w:r>
    </w:p>
    <w:p>
      <w:pPr>
        <w:spacing w:after="40"/>
        <w:ind w:left="567"/>
      </w:pPr>
      <w:r>
        <w:rPr>
          <w:sz w:val="20"/>
        </w:rPr>
        <w:t>C.  Arrêter immédiatement le travail et évacuer calmement la zone</w:t>
      </w:r>
    </w:p>
    <w:p>
      <w:pPr>
        <w:spacing w:after="40"/>
        <w:ind w:left="567"/>
      </w:pPr>
      <w:r>
        <w:rPr>
          <w:sz w:val="20"/>
        </w:rPr>
        <w:t>D.  Éteindre toutes les lumières avant de partir</w:t>
      </w:r>
    </w:p>
    <w:p/>
    <w:p>
      <w:pPr>
        <w:spacing w:before="160" w:after="60"/>
      </w:pPr>
      <w:r>
        <w:rPr>
          <w:b/>
          <w:color w:val="1A4E8C"/>
          <w:sz w:val="21"/>
        </w:rPr>
        <w:t>Question 8 — Quelle est la température de surface maximale d'un équipement marqué T4 ?</w:t>
      </w:r>
    </w:p>
    <w:p>
      <w:pPr>
        <w:spacing w:after="40"/>
        <w:ind w:left="567"/>
      </w:pPr>
      <w:r>
        <w:rPr>
          <w:sz w:val="20"/>
        </w:rPr>
        <w:t>A.  200°C</w:t>
      </w:r>
    </w:p>
    <w:p>
      <w:pPr>
        <w:spacing w:after="40"/>
        <w:ind w:left="567"/>
      </w:pPr>
      <w:r>
        <w:rPr>
          <w:sz w:val="20"/>
        </w:rPr>
        <w:t>B.  300°C</w:t>
      </w:r>
    </w:p>
    <w:p>
      <w:pPr>
        <w:spacing w:after="40"/>
        <w:ind w:left="567"/>
      </w:pPr>
      <w:r>
        <w:rPr>
          <w:sz w:val="20"/>
        </w:rPr>
        <w:t>C.  135°C</w:t>
      </w:r>
    </w:p>
    <w:p>
      <w:pPr>
        <w:spacing w:after="40"/>
        <w:ind w:left="567"/>
      </w:pPr>
      <w:r>
        <w:rPr>
          <w:sz w:val="20"/>
        </w:rPr>
        <w:t>D.  85°C</w:t>
      </w:r>
    </w:p>
    <w:p/>
    <w:p>
      <w:pPr>
        <w:spacing w:before="160" w:after="60"/>
      </w:pPr>
      <w:r>
        <w:rPr>
          <w:b/>
          <w:color w:val="1A4E8C"/>
          <w:sz w:val="21"/>
        </w:rPr>
        <w:t>Question 9 — Quelle catégorie d'équipement est requise en Zone 1 (gaz) ?</w:t>
      </w:r>
    </w:p>
    <w:p>
      <w:pPr>
        <w:spacing w:after="40"/>
        <w:ind w:left="567"/>
      </w:pPr>
      <w:r>
        <w:rPr>
          <w:sz w:val="20"/>
        </w:rPr>
        <w:t>A.  Catégorie 3G</w:t>
      </w:r>
    </w:p>
    <w:p>
      <w:pPr>
        <w:spacing w:after="40"/>
        <w:ind w:left="567"/>
      </w:pPr>
      <w:r>
        <w:rPr>
          <w:sz w:val="20"/>
        </w:rPr>
        <w:t>B.  Catégorie 1G uniquement</w:t>
      </w:r>
    </w:p>
    <w:p>
      <w:pPr>
        <w:spacing w:after="40"/>
        <w:ind w:left="567"/>
      </w:pPr>
      <w:r>
        <w:rPr>
          <w:sz w:val="20"/>
        </w:rPr>
        <w:t>C.  Catégorie 2G (ou 1G)</w:t>
      </w:r>
    </w:p>
    <w:p>
      <w:pPr>
        <w:spacing w:after="40"/>
        <w:ind w:left="567"/>
      </w:pPr>
      <w:r>
        <w:rPr>
          <w:sz w:val="20"/>
        </w:rPr>
        <w:t>D.  Catégorie 2D</w:t>
      </w:r>
    </w:p>
    <w:p/>
    <w:p>
      <w:pPr>
        <w:spacing w:before="160" w:after="60"/>
      </w:pPr>
      <w:r>
        <w:rPr>
          <w:b/>
          <w:color w:val="1A4E8C"/>
          <w:sz w:val="21"/>
        </w:rPr>
        <w:t>Question 10 — Norme des chaussures de sécurité antistatiques pour zone ATEX ?</w:t>
      </w:r>
    </w:p>
    <w:p>
      <w:pPr>
        <w:spacing w:after="40"/>
        <w:ind w:left="567"/>
      </w:pPr>
      <w:r>
        <w:rPr>
          <w:sz w:val="20"/>
        </w:rPr>
        <w:t>A.  EN 60903</w:t>
      </w:r>
    </w:p>
    <w:p>
      <w:pPr>
        <w:spacing w:after="40"/>
        <w:ind w:left="567"/>
      </w:pPr>
      <w:r>
        <w:rPr>
          <w:sz w:val="20"/>
        </w:rPr>
        <w:t>B.  EN ISO 20345 + propriété ESD</w:t>
      </w:r>
    </w:p>
    <w:p>
      <w:pPr>
        <w:spacing w:after="40"/>
        <w:ind w:left="567"/>
      </w:pPr>
      <w:r>
        <w:rPr>
          <w:sz w:val="20"/>
        </w:rPr>
        <w:t>C.  EN 1149-5</w:t>
      </w:r>
    </w:p>
    <w:p>
      <w:pPr>
        <w:spacing w:after="40"/>
        <w:ind w:left="567"/>
      </w:pPr>
      <w:r>
        <w:rPr>
          <w:sz w:val="20"/>
        </w:rPr>
        <w:t>D.  EN 397/A1</w:t>
      </w:r>
    </w:p>
    <w:p/>
    <w:p>
      <w:pPr>
        <w:spacing w:before="160" w:after="60"/>
      </w:pPr>
      <w:r>
        <w:rPr>
          <w:b/>
          <w:color w:val="1A4E8C"/>
          <w:sz w:val="21"/>
        </w:rPr>
        <w:t>Question 11 — Que doit-on vérifier sur l'explosimètre avant chaque utilisation ?</w:t>
      </w:r>
    </w:p>
    <w:p>
      <w:pPr>
        <w:spacing w:after="40"/>
        <w:ind w:left="567"/>
      </w:pPr>
      <w:r>
        <w:rPr>
          <w:sz w:val="20"/>
        </w:rPr>
        <w:t>A.  Sa couleur et son design</w:t>
      </w:r>
    </w:p>
    <w:p>
      <w:pPr>
        <w:spacing w:after="40"/>
        <w:ind w:left="567"/>
      </w:pPr>
      <w:r>
        <w:rPr>
          <w:sz w:val="20"/>
        </w:rPr>
        <w:t>B.  Son bump test (gaz d'étalonnage) et la charge de sa batterie</w:t>
      </w:r>
    </w:p>
    <w:p>
      <w:pPr>
        <w:spacing w:after="40"/>
        <w:ind w:left="567"/>
      </w:pPr>
      <w:r>
        <w:rPr>
          <w:sz w:val="20"/>
        </w:rPr>
        <w:t>C.  Uniquement l'étalonnage annuel</w:t>
      </w:r>
    </w:p>
    <w:p>
      <w:pPr>
        <w:spacing w:after="40"/>
        <w:ind w:left="567"/>
      </w:pPr>
      <w:r>
        <w:rPr>
          <w:sz w:val="20"/>
        </w:rPr>
        <w:t>D.  Sa conformité à la norme NF C 15-100</w:t>
      </w:r>
    </w:p>
    <w:p/>
    <w:p>
      <w:pPr>
        <w:spacing w:before="160" w:after="60"/>
      </w:pPr>
      <w:r>
        <w:rPr>
          <w:b/>
          <w:color w:val="1A4E8C"/>
          <w:sz w:val="21"/>
        </w:rPr>
        <w:t>Question 12 — Qui peut délivrer une Autorisation de Travail (AT) en zone ATEX ?</w:t>
      </w:r>
    </w:p>
    <w:p>
      <w:pPr>
        <w:spacing w:after="40"/>
        <w:ind w:left="567"/>
      </w:pPr>
      <w:r>
        <w:rPr>
          <w:sz w:val="20"/>
        </w:rPr>
        <w:t>A.  N'importe quel agent de maîtrise</w:t>
      </w:r>
    </w:p>
    <w:p>
      <w:pPr>
        <w:spacing w:after="40"/>
        <w:ind w:left="567"/>
      </w:pPr>
      <w:r>
        <w:rPr>
          <w:sz w:val="20"/>
        </w:rPr>
        <w:t>B.  Le chef de chantier extérieur</w:t>
      </w:r>
    </w:p>
    <w:p>
      <w:pPr>
        <w:spacing w:after="40"/>
        <w:ind w:left="567"/>
      </w:pPr>
      <w:r>
        <w:rPr>
          <w:sz w:val="20"/>
        </w:rPr>
        <w:t>C.  Une personne compétente désignée par l'employeur</w:t>
      </w:r>
    </w:p>
    <w:p>
      <w:pPr>
        <w:spacing w:after="40"/>
        <w:ind w:left="567"/>
      </w:pPr>
      <w:r>
        <w:rPr>
          <w:sz w:val="20"/>
        </w:rPr>
        <w:t>D.  Le médecin du travail</w:t>
      </w:r>
    </w:p>
    <w:p/>
    <w:p>
      <w:pPr>
        <w:spacing w:before="160" w:after="60"/>
      </w:pPr>
      <w:r>
        <w:rPr>
          <w:b/>
          <w:color w:val="1A4E8C"/>
          <w:sz w:val="21"/>
        </w:rPr>
        <w:t>Question 13 — Quel est le rôle du DRPCE ?</w:t>
      </w:r>
    </w:p>
    <w:p>
      <w:pPr>
        <w:spacing w:after="40"/>
        <w:ind w:left="567"/>
      </w:pPr>
      <w:r>
        <w:rPr>
          <w:sz w:val="20"/>
        </w:rPr>
        <w:t>A.  Recenser les accidents du travail survenus sur le site</w:t>
      </w:r>
    </w:p>
    <w:p>
      <w:pPr>
        <w:spacing w:after="40"/>
        <w:ind w:left="567"/>
      </w:pPr>
      <w:r>
        <w:rPr>
          <w:sz w:val="20"/>
        </w:rPr>
        <w:t>B.  Documenter l'évaluation des risques explosion, le zonage et les mesures de prévention</w:t>
      </w:r>
    </w:p>
    <w:p>
      <w:pPr>
        <w:spacing w:after="40"/>
        <w:ind w:left="567"/>
      </w:pPr>
      <w:r>
        <w:rPr>
          <w:sz w:val="20"/>
        </w:rPr>
        <w:t>C.  Tenir le registre des visites médicales du personnel</w:t>
      </w:r>
    </w:p>
    <w:p>
      <w:pPr>
        <w:spacing w:after="40"/>
        <w:ind w:left="567"/>
      </w:pPr>
      <w:r>
        <w:rPr>
          <w:sz w:val="20"/>
        </w:rPr>
        <w:t>D.  Enregistrer les formations SST du personnel</w:t>
      </w:r>
    </w:p>
    <w:p/>
    <w:p>
      <w:pPr>
        <w:spacing w:before="160" w:after="60"/>
      </w:pPr>
      <w:r>
        <w:rPr>
          <w:b/>
          <w:color w:val="1A4E8C"/>
          <w:sz w:val="21"/>
        </w:rPr>
        <w:t>Question 14 — Les 4 étapes PEAS en ordre correct :</w:t>
      </w:r>
    </w:p>
    <w:p>
      <w:pPr>
        <w:spacing w:after="40"/>
        <w:ind w:left="567"/>
      </w:pPr>
      <w:r>
        <w:rPr>
          <w:sz w:val="20"/>
        </w:rPr>
        <w:t>A.  Protéger → Alerter → Examiner → Secourir</w:t>
      </w:r>
    </w:p>
    <w:p>
      <w:pPr>
        <w:spacing w:after="40"/>
        <w:ind w:left="567"/>
      </w:pPr>
      <w:r>
        <w:rPr>
          <w:sz w:val="20"/>
        </w:rPr>
        <w:t>B.  Examiner → Protéger → Alerter → Secourir</w:t>
      </w:r>
    </w:p>
    <w:p>
      <w:pPr>
        <w:spacing w:after="40"/>
        <w:ind w:left="567"/>
      </w:pPr>
      <w:r>
        <w:rPr>
          <w:sz w:val="20"/>
        </w:rPr>
        <w:t>C.  Protéger → Examiner → Alerter → Secourir</w:t>
      </w:r>
    </w:p>
    <w:p>
      <w:pPr>
        <w:spacing w:after="40"/>
        <w:ind w:left="567"/>
      </w:pPr>
      <w:r>
        <w:rPr>
          <w:sz w:val="20"/>
        </w:rPr>
        <w:t>D.  Alerter → Protéger → Secourir → Examiner</w:t>
      </w:r>
    </w:p>
    <w:p/>
    <w:p>
      <w:pPr>
        <w:spacing w:before="160" w:after="60"/>
      </w:pPr>
      <w:r>
        <w:rPr>
          <w:b/>
          <w:color w:val="1A4E8C"/>
          <w:sz w:val="21"/>
        </w:rPr>
        <w:t>Question 15 — Un équipement certifié IIB peut-il être utilisé dans une atmosphère contenant de l'éthylène (groupe IIB) en zone 1 ?</w:t>
      </w:r>
    </w:p>
    <w:p>
      <w:pPr>
        <w:spacing w:after="40"/>
        <w:ind w:left="567"/>
      </w:pPr>
      <w:r>
        <w:rPr>
          <w:sz w:val="20"/>
        </w:rPr>
        <w:t>A.  Non — seul IIC est autorisé pour l'éthylène</w:t>
      </w:r>
    </w:p>
    <w:p>
      <w:pPr>
        <w:spacing w:after="40"/>
        <w:ind w:left="567"/>
      </w:pPr>
      <w:r>
        <w:rPr>
          <w:sz w:val="20"/>
        </w:rPr>
        <w:t>B.  Oui — IIB est compatible avec le groupe IIB (catégorie 2G requis pour zone 1)</w:t>
      </w:r>
    </w:p>
    <w:p>
      <w:pPr>
        <w:spacing w:after="40"/>
        <w:ind w:left="567"/>
      </w:pPr>
      <w:r>
        <w:rPr>
          <w:sz w:val="20"/>
        </w:rPr>
        <w:t>C.  Non — l'éthylène appartient au groupe IIC</w:t>
      </w:r>
    </w:p>
    <w:p>
      <w:pPr>
        <w:spacing w:after="40"/>
        <w:ind w:left="567"/>
      </w:pPr>
      <w:r>
        <w:rPr>
          <w:sz w:val="20"/>
        </w:rPr>
        <w:t>D.  Oui mais seulement en zone 2</w:t>
      </w:r>
    </w:p>
    <w:p/>
    <w:p>
      <w:pPr>
        <w:pBdr>
          <w:bottom w:val="single" w:sz="4" w:color="CCCCCC"/>
        </w:pBdr>
        <w:spacing w:before="100" w:after="100"/>
      </w:pPr>
    </w:p>
    <w:p>
      <w:pPr>
        <w:spacing w:before="200"/>
        <w:jc w:val="center"/>
      </w:pPr>
      <w:r>
        <w:rPr>
          <w:b/>
          <w:color w:val="1A4E8C"/>
          <w:sz w:val="28"/>
        </w:rPr>
        <w:t>MES RÉSULTATS</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a4e8c"/>
          </w:tcPr>
          <w:p>
            <w:r>
              <w:rPr>
                <w:b/>
                <w:color w:val="FFFFFF"/>
                <w:sz w:val="22"/>
              </w:rPr>
              <w:t>Score</w:t>
            </w:r>
          </w:p>
        </w:tc>
        <w:tc>
          <w:tcPr>
            <w:tcW w:type="dxa" w:w="4819"/>
          </w:tcPr>
          <w:p>
            <w:r>
              <w:rPr>
                <w:sz w:val="22"/>
              </w:rPr>
              <w:t>__ / 15</w:t>
            </w:r>
          </w:p>
        </w:tc>
      </w:tr>
      <w:tr>
        <w:tc>
          <w:tcPr>
            <w:tcW w:type="dxa" w:w="4819"/>
            <w:shd w:val="clear" w:color="auto" w:fill="1a4e8c"/>
          </w:tcPr>
          <w:p>
            <w:r>
              <w:rPr>
                <w:b/>
                <w:color w:val="FFFFFF"/>
                <w:sz w:val="22"/>
              </w:rPr>
              <w:t>Pourcentage</w:t>
            </w:r>
          </w:p>
        </w:tc>
        <w:tc>
          <w:tcPr>
            <w:tcW w:type="dxa" w:w="4819"/>
          </w:tcPr>
          <w:p>
            <w:r>
              <w:rPr>
                <w:sz w:val="22"/>
              </w:rPr>
              <w:t>__ %</w:t>
            </w:r>
          </w:p>
        </w:tc>
      </w:tr>
      <w:tr>
        <w:tc>
          <w:tcPr>
            <w:tcW w:type="dxa" w:w="4819"/>
            <w:shd w:val="clear" w:color="auto" w:fill="1a4e8c"/>
          </w:tcPr>
          <w:p>
            <w:r>
              <w:rPr>
                <w:b/>
                <w:color w:val="FFFFFF"/>
                <w:sz w:val="22"/>
              </w:rPr>
              <w:t>Résultat</w:t>
            </w:r>
          </w:p>
        </w:tc>
        <w:tc>
          <w:tcPr>
            <w:tcW w:type="dxa" w:w="4819"/>
          </w:tcPr>
          <w:p>
            <w:r>
              <w:rPr>
                <w:sz w:val="22"/>
              </w:rPr>
              <w:t>Réussi ≥ 12/15  |  À améliorer &lt; 12/15</w:t>
            </w:r>
          </w:p>
        </w:tc>
      </w:tr>
    </w:tbl>
    <w:p>
      <w:pPr>
        <w:pBdr>
          <w:bottom w:val="single" w:sz="4" w:color="CCCCCC"/>
        </w:pBdr>
        <w:spacing w:before="100" w:after="100"/>
      </w:pPr>
    </w:p>
    <w:p>
      <w:pPr>
        <w:jc w:val="center"/>
      </w:pPr>
      <w:r>
        <w:rPr>
          <w:i/>
          <w:color w:val="888888"/>
          <w:sz w:val="16"/>
        </w:rPr>
        <w:t>Prévensia Groupe — Livret Stagiaire ATEX NIV 1 — Document confidentiel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