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A4E8C"/>
          <w:sz w:val="56"/>
        </w:rPr>
        <w:t>LIVRET STAGIAIRE</w:t>
      </w:r>
    </w:p>
    <w:p>
      <w:pPr>
        <w:jc w:val="center"/>
      </w:pPr>
      <w:r>
        <w:rPr>
          <w:b/>
          <w:color w:val="1A4E8C"/>
          <w:sz w:val="32"/>
        </w:rPr>
        <w:t>Formation ATEX NIV 2 — Encadrant / Référent ATEX</w:t>
      </w:r>
    </w:p>
    <w:p>
      <w:pPr>
        <w:spacing w:after="320"/>
        <w:jc w:val="center"/>
      </w:pPr>
      <w:r>
        <w:rPr>
          <w:color w:val="E67E00"/>
          <w:sz w:val="24"/>
        </w:rPr>
        <w:t>Habilitation encadrant — Pilotage DRPCE, zonage, sous-traitance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Organisme de formation</w:t>
            </w:r>
          </w:p>
        </w:tc>
        <w:tc>
          <w:tcPr>
            <w:tcW w:type="dxa" w:w="6746"/>
          </w:tcPr>
          <w:p>
            <w:r>
              <w:rPr>
                <w:sz w:val="20"/>
              </w:rPr>
              <w:t>Prévensia Groupe — SIRET 107 290 579 00013</w:t>
            </w:r>
          </w:p>
        </w:tc>
      </w:tr>
      <w:tr>
        <w:tc>
          <w:tcPr>
            <w:tcW w:type="dxa" w:w="3118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Durée</w:t>
            </w:r>
          </w:p>
        </w:tc>
        <w:tc>
          <w:tcPr>
            <w:tcW w:type="dxa" w:w="6746"/>
          </w:tcPr>
          <w:p>
            <w:r>
              <w:rPr>
                <w:sz w:val="20"/>
              </w:rPr>
              <w:t>Distanciel : 7h | Présentiel : 14h (2 jours)</w:t>
            </w:r>
          </w:p>
        </w:tc>
      </w:tr>
      <w:tr>
        <w:tc>
          <w:tcPr>
            <w:tcW w:type="dxa" w:w="3118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Réglementation</w:t>
            </w:r>
          </w:p>
        </w:tc>
        <w:tc>
          <w:tcPr>
            <w:tcW w:type="dxa" w:w="6746"/>
          </w:tcPr>
          <w:p>
            <w:r>
              <w:rPr>
                <w:sz w:val="20"/>
              </w:rPr>
              <w:t>Art. R4227-50 à R4227-54 · Dir. 1999/92/CE · Dir. 2014/34/UE · INERIS Oméga 36 (2025)</w:t>
            </w:r>
          </w:p>
        </w:tc>
      </w:tr>
      <w:tr>
        <w:tc>
          <w:tcPr>
            <w:tcW w:type="dxa" w:w="3118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Niveau</w:t>
            </w:r>
          </w:p>
        </w:tc>
        <w:tc>
          <w:tcPr>
            <w:tcW w:type="dxa" w:w="6746"/>
          </w:tcPr>
          <w:p>
            <w:r>
              <w:rPr>
                <w:sz w:val="20"/>
              </w:rPr>
              <w:t>ATEX NIV 2 — Encadrant / Référent ATEX — INERIS §3.2.1</w:t>
            </w:r>
          </w:p>
        </w:tc>
      </w:tr>
      <w:tr>
        <w:tc>
          <w:tcPr>
            <w:tcW w:type="dxa" w:w="3118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Nom / Prénom</w:t>
            </w:r>
          </w:p>
        </w:tc>
        <w:tc>
          <w:tcPr>
            <w:tcW w:type="dxa" w:w="6746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SOMMAIRE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Consolidation NIV 0 et NIV 1 — Bases essentielles pour l'encadrant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Responsabilités légales de l'encadrant ATEX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Évaluation des risques ATEX — Méthodologie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Rédaction et mise à jour du DRPCE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Sélection et qualification des équipements Ex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Organisation des interventions en zone ATEX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Gestion des entreprises extérieures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Systèmes de détection fixe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Former et sensibiliser les équipes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Retour d'expérience — Accidents ATEX réels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Synthèse et préparation à la classe virtuelle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QCM d'évaluation — 15 questions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</w:tbl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1 — CONSOLIDATION NIV 0 ET NIV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4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x-formation-lie-l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4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Rappel fondamental : domaine d'explosivité LIE/LSE — Source INERIS Oméga 36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1.1 Rappels essentiels — Ce que l'encadrant doit maîtriser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2154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NIV 0 (sensibilisation)</w:t>
            </w:r>
          </w:p>
        </w:tc>
        <w:tc>
          <w:tcPr>
            <w:tcW w:type="dxa" w:w="2154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NIV 1 (intervenant)</w:t>
            </w:r>
          </w:p>
        </w:tc>
        <w:tc>
          <w:tcPr>
            <w:tcW w:type="dxa" w:w="2551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NIV 2 (encadrant)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LIE/LSE</w:t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  <w:t>Sait qu'il existe un domaine d'explosivité</w:t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  <w:t>Utilise l'explosimètre + seuils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Intègre LIE/LSE dans le plan de prévention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Zones ATEX</w:t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  <w:t>Connaît son niveau de zone</w:t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  <w:t>Lit le plan de zonage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Établit et valide le plan de zonage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EPI</w:t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  <w:t>Port des EPI obligatoires</w:t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  <w:t>Choisit et vérifie ses EPI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Définit les EPI requis pour chaque zone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DRPCE</w:t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  <w:t>En connaît l'existence</w:t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  <w:t>Le consulte avant d'intervenir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Le rédige, le met à jour et le fait respecter</w:t>
            </w:r>
          </w:p>
        </w:tc>
      </w:tr>
    </w:tbl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1.2 Le profil encadrant ATEX — INERIS §3.2.1</w:t>
      </w:r>
    </w:p>
    <w:p>
      <w:pPr>
        <w:pStyle w:val="ListBullet"/>
        <w:spacing w:after="40"/>
      </w:pPr>
      <w:r>
        <w:rPr>
          <w:sz w:val="20"/>
        </w:rPr>
        <w:t>Pilote la démarche ATEX de l'établissement</w:t>
      </w:r>
    </w:p>
    <w:p>
      <w:pPr>
        <w:pStyle w:val="ListBullet"/>
        <w:spacing w:after="40"/>
      </w:pPr>
      <w:r>
        <w:rPr>
          <w:sz w:val="20"/>
        </w:rPr>
        <w:t>Réalise ou supervise l'évaluation des risques explosion</w:t>
      </w:r>
    </w:p>
    <w:p>
      <w:pPr>
        <w:pStyle w:val="ListBullet"/>
        <w:spacing w:after="40"/>
      </w:pPr>
      <w:r>
        <w:rPr>
          <w:sz w:val="20"/>
        </w:rPr>
        <w:t>Rédige, met à jour et fait appliquer le DRPCE</w:t>
      </w:r>
    </w:p>
    <w:p>
      <w:pPr>
        <w:pStyle w:val="ListBullet"/>
        <w:spacing w:after="40"/>
      </w:pPr>
      <w:r>
        <w:rPr>
          <w:sz w:val="20"/>
        </w:rPr>
        <w:t>Valide le zonage ATEX et les AT pour les sous-traitants</w:t>
      </w:r>
    </w:p>
    <w:p>
      <w:pPr>
        <w:pStyle w:val="ListBullet"/>
        <w:spacing w:after="40"/>
      </w:pPr>
      <w:r>
        <w:rPr>
          <w:sz w:val="20"/>
        </w:rPr>
        <w:t>Assure la formation et sensibilisation des équipes (NIV 0 et NIV 1)</w:t>
      </w:r>
    </w:p>
    <w:p>
      <w:pPr>
        <w:shd w:val="clear" w:color="auto" w:fill="dbeafe"/>
        <w:spacing w:before="80" w:after="80"/>
        <w:ind w:left="170"/>
      </w:pPr>
      <w:r>
        <w:rPr>
          <w:b/>
          <w:sz w:val="20"/>
        </w:rPr>
        <w:t>★ Points clés à retenir</w:t>
      </w:r>
    </w:p>
    <w:p>
      <w:pPr>
        <w:pStyle w:val="ListBullet"/>
        <w:spacing w:after="40"/>
      </w:pPr>
      <w:r>
        <w:rPr>
          <w:sz w:val="20"/>
        </w:rPr>
        <w:t>NIV 2 = décideur et responsable technique ATEX du site</w:t>
      </w:r>
    </w:p>
    <w:p>
      <w:pPr>
        <w:pStyle w:val="ListBullet"/>
        <w:spacing w:after="40"/>
      </w:pPr>
      <w:r>
        <w:rPr>
          <w:sz w:val="20"/>
        </w:rPr>
        <w:t>La maîtrise du DRPCE est la compétence centrale de l'encadrant</w:t>
      </w:r>
    </w:p>
    <w:p>
      <w:pPr>
        <w:pStyle w:val="ListBullet"/>
        <w:spacing w:after="40"/>
      </w:pPr>
      <w:r>
        <w:rPr>
          <w:sz w:val="20"/>
        </w:rPr>
        <w:t>Toute modification d'installation → réévaluation du zonage et du DRPCE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2 — RESPONSABILITÉS LÉGALES DE L'ENCADRANT ATEX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2.1 Le cadre légal de la responsabilité</w:t>
      </w:r>
    </w:p>
    <w:p>
      <w:pPr>
        <w:shd w:val="clear" w:color="auto" w:fill="fee2e2"/>
        <w:spacing w:before="80" w:after="80"/>
        <w:ind w:left="170"/>
      </w:pPr>
      <w:r>
        <w:rPr>
          <w:b/>
          <w:sz w:val="20"/>
        </w:rPr>
        <w:t>Art. R4227-50 : L'employeur est responsable de la protection des travailleurs contre les risques d'explosion. Cette responsabilité peut être déléguée à un encadrant compétent (NIV 2).</w:t>
      </w:r>
    </w:p>
    <w:p>
      <w:pPr>
        <w:pStyle w:val="ListBullet"/>
        <w:spacing w:after="40"/>
      </w:pPr>
      <w:r>
        <w:rPr>
          <w:sz w:val="20"/>
        </w:rPr>
        <w:t>Responsabilité pénale en cas d'accident imputable à un manquement organisationnel</w:t>
      </w:r>
    </w:p>
    <w:p>
      <w:pPr>
        <w:pStyle w:val="ListBullet"/>
        <w:spacing w:after="40"/>
      </w:pPr>
      <w:r>
        <w:rPr>
          <w:sz w:val="20"/>
        </w:rPr>
        <w:t>Responsabilité civile : indemnisation des victimes</w:t>
      </w:r>
    </w:p>
    <w:p>
      <w:pPr>
        <w:pStyle w:val="ListBullet"/>
        <w:spacing w:after="40"/>
      </w:pPr>
      <w:r>
        <w:rPr>
          <w:sz w:val="20"/>
        </w:rPr>
        <w:t>Responsabilité administrative : inspections DREAL, mise en demeure, amendes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2.2 Les obligations de l'encadrant désigné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Obligation</w:t>
            </w:r>
          </w:p>
        </w:tc>
        <w:tc>
          <w:tcPr>
            <w:tcW w:type="dxa" w:w="2268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Texte de référence</w:t>
            </w:r>
          </w:p>
        </w:tc>
        <w:tc>
          <w:tcPr>
            <w:tcW w:type="dxa" w:w="1701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Fréquence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Rédiger/mettre à jour le DRPCE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Art. R4227-52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Après toute modification + après incident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Établir le plan de zonage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Dir. 1999/92/CE Art. 7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Révision périodique ou après modification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Valider les AT et permis de feu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Art. R4515-8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Avant chaque intervention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Former le personnel exposé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Art. R4227-53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À l'embauche + recyclage 3 ans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Coordonner les sous-traitants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Art. R4512-1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À chaque plan de prévention</w:t>
            </w:r>
          </w:p>
        </w:tc>
      </w:tr>
    </w:tbl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2.3 La délégation de pouvoir</w:t>
      </w:r>
    </w:p>
    <w:p>
      <w:pPr>
        <w:pStyle w:val="ListBullet"/>
        <w:spacing w:after="40"/>
      </w:pPr>
      <w:r>
        <w:rPr>
          <w:sz w:val="20"/>
        </w:rPr>
        <w:t>La délégation de pouvoir doit être écrite, précise et acceptée par le délégataire</w:t>
      </w:r>
    </w:p>
    <w:p>
      <w:pPr>
        <w:pStyle w:val="ListBullet"/>
        <w:spacing w:after="40"/>
      </w:pPr>
      <w:r>
        <w:rPr>
          <w:sz w:val="20"/>
        </w:rPr>
        <w:t>Le délégataire doit avoir l'autorité, les moyens et la compétence pour agir</w:t>
      </w:r>
    </w:p>
    <w:p>
      <w:pPr>
        <w:pStyle w:val="ListBullet"/>
        <w:spacing w:after="40"/>
      </w:pPr>
      <w:r>
        <w:rPr>
          <w:sz w:val="20"/>
        </w:rPr>
        <w:t>La délégation ne décharge pas totalement l'employeur de sa responsabilité</w:t>
      </w:r>
    </w:p>
    <w:p>
      <w:pPr>
        <w:shd w:val="clear" w:color="auto" w:fill="fee2e2"/>
        <w:spacing w:before="80" w:after="80"/>
        <w:ind w:left="170"/>
      </w:pPr>
      <w:r>
        <w:rPr>
          <w:b/>
          <w:sz w:val="20"/>
        </w:rPr>
        <w:t>★ ⚠️ Points de vigilance</w:t>
      </w:r>
    </w:p>
    <w:p>
      <w:pPr>
        <w:pStyle w:val="ListBullet"/>
        <w:spacing w:after="40"/>
      </w:pPr>
      <w:r>
        <w:rPr>
          <w:sz w:val="20"/>
        </w:rPr>
        <w:t>Responsabilité pénale personnelle de l'encadrant désigné en cas de manquement</w:t>
      </w:r>
    </w:p>
    <w:p>
      <w:pPr>
        <w:pStyle w:val="ListBullet"/>
        <w:spacing w:after="40"/>
      </w:pPr>
      <w:r>
        <w:rPr>
          <w:sz w:val="20"/>
        </w:rPr>
        <w:t>Délégation de pouvoir = transfert partiel de responsabilité, pas total</w:t>
      </w:r>
    </w:p>
    <w:p>
      <w:pPr>
        <w:pStyle w:val="ListBullet"/>
        <w:spacing w:after="40"/>
      </w:pPr>
      <w:r>
        <w:rPr>
          <w:sz w:val="20"/>
        </w:rPr>
        <w:t>Plan de prévention obligatoire (Art. R4512-6) dès intervention d'une entreprise extérieure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3 — ÉVALUATION DES RISQUES ATEX — MÉTHODOLOGIE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1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x-schema-zones-atelier-bo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1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Exemple de zonage ATEX réel — Atelier bois : zones 20/21/22 autour machines et silo aspiration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3.1 Les 5 étapes de l'évaluation des risques</w:t>
      </w:r>
    </w:p>
    <w:p>
      <w:pPr>
        <w:pStyle w:val="ListBullet"/>
        <w:spacing w:after="40"/>
      </w:pPr>
      <w:r>
        <w:rPr>
          <w:sz w:val="20"/>
        </w:rPr>
        <w:t>1. INVENTAIRE des substances inflammables présentes (FDS, quantités, conditions de stockage)</w:t>
      </w:r>
    </w:p>
    <w:p>
      <w:pPr>
        <w:pStyle w:val="ListBullet"/>
        <w:spacing w:after="40"/>
      </w:pPr>
      <w:r>
        <w:rPr>
          <w:sz w:val="20"/>
        </w:rPr>
        <w:t>2. ANALYSE des sources d'émission (fuites, déversements, procédés normaux et dégradés)</w:t>
      </w:r>
    </w:p>
    <w:p>
      <w:pPr>
        <w:pStyle w:val="ListBullet"/>
        <w:spacing w:after="40"/>
      </w:pPr>
      <w:r>
        <w:rPr>
          <w:sz w:val="20"/>
        </w:rPr>
        <w:t>3. DÉTERMINATION des zones ATEX (fréquence, durée, étendue de l'atmosphère)</w:t>
      </w:r>
    </w:p>
    <w:p>
      <w:pPr>
        <w:pStyle w:val="ListBullet"/>
        <w:spacing w:after="40"/>
      </w:pPr>
      <w:r>
        <w:rPr>
          <w:sz w:val="20"/>
        </w:rPr>
        <w:t>4. IDENTIFICATION des sources d'inflammation potentielles dans chaque zone</w:t>
      </w:r>
    </w:p>
    <w:p>
      <w:pPr>
        <w:pStyle w:val="ListBullet"/>
        <w:spacing w:after="40"/>
      </w:pPr>
      <w:r>
        <w:rPr>
          <w:sz w:val="20"/>
        </w:rPr>
        <w:t>5. MISE EN PLACE des mesures de prévention et de protection par zone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3.2 Les outils d'analyse</w:t>
      </w:r>
    </w:p>
    <w:p>
      <w:pPr>
        <w:pStyle w:val="ListBullet"/>
        <w:spacing w:after="40"/>
      </w:pPr>
      <w:r>
        <w:rPr>
          <w:sz w:val="20"/>
        </w:rPr>
        <w:t>ATEX-TOOL (INERIS) : logiciel d'aide au zonage pour gaz et vapeurs</w:t>
      </w:r>
    </w:p>
    <w:p>
      <w:pPr>
        <w:pStyle w:val="ListBullet"/>
        <w:spacing w:after="40"/>
      </w:pPr>
      <w:r>
        <w:rPr>
          <w:sz w:val="20"/>
        </w:rPr>
        <w:t>Guide INERIS Oméga 36 : méthodologie complète de zonage (octobre 2025)</w:t>
      </w:r>
    </w:p>
    <w:p>
      <w:pPr>
        <w:pStyle w:val="ListBullet"/>
        <w:spacing w:after="40"/>
      </w:pPr>
      <w:r>
        <w:rPr>
          <w:sz w:val="20"/>
        </w:rPr>
        <w:t>FDS (Fiches de Données de Sécurité) : LIE, LSE, TAI, densité des produits</w:t>
      </w:r>
    </w:p>
    <w:p>
      <w:pPr>
        <w:pStyle w:val="ListBullet"/>
        <w:spacing w:after="40"/>
      </w:pPr>
      <w:r>
        <w:rPr>
          <w:sz w:val="20"/>
        </w:rPr>
        <w:t>Normes EN 60079-10-1 (gaz/vapeurs) et EN 60079-10-2 (poussières) pour le zonage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3.3 Classification des zones — Rappel encadrant</w:t>
      </w:r>
    </w:p>
    <w:p>
      <w:pPr>
        <w:shd w:val="clear" w:color="auto" w:fill="fff3cd"/>
        <w:spacing w:before="80" w:after="80"/>
        <w:ind w:left="170"/>
      </w:pPr>
      <w:r>
        <w:rPr>
          <w:b/>
          <w:sz w:val="20"/>
        </w:rPr>
        <w:t>Règle fondamentale : la zone 0/20 nécessite une évaluation très rigoureuse — elle correspond à un risque permanent qui devrait être évité par conception.</w:t>
      </w:r>
    </w:p>
    <w:p>
      <w:pPr>
        <w:shd w:val="clear" w:color="auto" w:fill="dbeafe"/>
        <w:spacing w:before="80" w:after="80"/>
        <w:ind w:left="170"/>
      </w:pPr>
      <w:r>
        <w:rPr>
          <w:b/>
          <w:sz w:val="20"/>
        </w:rPr>
        <w:t>★ Points clés à retenir</w:t>
      </w:r>
    </w:p>
    <w:p>
      <w:pPr>
        <w:pStyle w:val="ListBullet"/>
        <w:spacing w:after="40"/>
      </w:pPr>
      <w:r>
        <w:rPr>
          <w:sz w:val="20"/>
        </w:rPr>
        <w:t>Toujours consulter les FDS avant l'évaluation — LIE, LSE et TAI sont les données clés</w:t>
      </w:r>
    </w:p>
    <w:p>
      <w:pPr>
        <w:pStyle w:val="ListBullet"/>
        <w:spacing w:after="40"/>
      </w:pPr>
      <w:r>
        <w:rPr>
          <w:sz w:val="20"/>
        </w:rPr>
        <w:t>Zone 0/20 = risque permanent → à éliminer par conception si possible</w:t>
      </w:r>
    </w:p>
    <w:p>
      <w:pPr>
        <w:pStyle w:val="ListBullet"/>
        <w:spacing w:after="40"/>
      </w:pPr>
      <w:r>
        <w:rPr>
          <w:sz w:val="20"/>
        </w:rPr>
        <w:t>Le plan de zonage doit être validé par une personne compétente (NIV 2 ou expert ATEX)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4 — RÉDACTION ET MISE À JOUR DU DRPCE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4.1 Structure obligatoire du DRPCE — Art. R4227-52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Partie</w:t>
            </w:r>
          </w:p>
        </w:tc>
        <w:tc>
          <w:tcPr>
            <w:tcW w:type="dxa" w:w="3402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Contenu obligatoire</w:t>
            </w:r>
          </w:p>
        </w:tc>
        <w:tc>
          <w:tcPr>
            <w:tcW w:type="dxa" w:w="1701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Évaluation des risques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Inventaire substances + analyse sources émission + mesures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Encadrant NIV 2 / Expert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Plan de zonage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Cartographie des zones 0/1/2 et 20/21/22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Encadrant NIV 2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Mesures de prévention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Ventilation, substitution, confinement, liaisons équipotentielles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Direction + Encadrant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Liste équipements Ex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Référence, catégorie, certificat, localisation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Encadrant + maintenance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Procédures d'intervention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AT, permis de feu, plans de prévention sous-traitants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Encadrant NIV 2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Habilitations du personnel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Liste des personnes NIV 0, NIV 1, NIV 2 avec dates de formation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RH + Encadrant</w:t>
            </w:r>
          </w:p>
        </w:tc>
      </w:tr>
    </w:tbl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4.2 Déclencheurs de mise à jour obligatoire</w:t>
      </w:r>
    </w:p>
    <w:p>
      <w:pPr>
        <w:pStyle w:val="ListBullet"/>
        <w:spacing w:after="40"/>
      </w:pPr>
      <w:r>
        <w:rPr>
          <w:sz w:val="20"/>
        </w:rPr>
        <w:t>Modification de l'installation (procédé, équipement, tuyauterie)</w:t>
      </w:r>
    </w:p>
    <w:p>
      <w:pPr>
        <w:pStyle w:val="ListBullet"/>
        <w:spacing w:after="40"/>
      </w:pPr>
      <w:r>
        <w:rPr>
          <w:sz w:val="20"/>
        </w:rPr>
        <w:t>Changement de produits inflammables utilisés ou stockés</w:t>
      </w:r>
    </w:p>
    <w:p>
      <w:pPr>
        <w:pStyle w:val="ListBullet"/>
        <w:spacing w:after="40"/>
      </w:pPr>
      <w:r>
        <w:rPr>
          <w:sz w:val="20"/>
        </w:rPr>
        <w:t>Incident ATEX (explosion, incendie, fuite significative)</w:t>
      </w:r>
    </w:p>
    <w:p>
      <w:pPr>
        <w:pStyle w:val="ListBullet"/>
        <w:spacing w:after="40"/>
      </w:pPr>
      <w:r>
        <w:rPr>
          <w:sz w:val="20"/>
        </w:rPr>
        <w:t>Évolution réglementaire ou normative</w:t>
      </w:r>
    </w:p>
    <w:p>
      <w:pPr>
        <w:pStyle w:val="ListBullet"/>
        <w:spacing w:after="40"/>
      </w:pPr>
      <w:r>
        <w:rPr>
          <w:sz w:val="20"/>
        </w:rPr>
        <w:t>Résultat d'audit interne ou d'inspection externe (DREAL, CARSAT)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4.3 Archivage et accessibilité</w:t>
      </w:r>
    </w:p>
    <w:p>
      <w:pPr>
        <w:pStyle w:val="ListBullet"/>
        <w:spacing w:after="40"/>
      </w:pPr>
      <w:r>
        <w:rPr>
          <w:sz w:val="20"/>
        </w:rPr>
        <w:t>Le DRPCE doit être conservé et tenu à jour en permanence</w:t>
      </w:r>
    </w:p>
    <w:p>
      <w:pPr>
        <w:pStyle w:val="ListBullet"/>
        <w:spacing w:after="40"/>
      </w:pPr>
      <w:r>
        <w:rPr>
          <w:sz w:val="20"/>
        </w:rPr>
        <w:t>Il doit être accessible à tout moment aux intervenants et aux autorités de contrôle</w:t>
      </w:r>
    </w:p>
    <w:p>
      <w:pPr>
        <w:pStyle w:val="ListBullet"/>
        <w:spacing w:after="40"/>
      </w:pPr>
      <w:r>
        <w:rPr>
          <w:sz w:val="20"/>
        </w:rPr>
        <w:t>L'encadrant NIV 2 est responsable de son actualisation et de sa diffusion</w:t>
      </w:r>
    </w:p>
    <w:p>
      <w:pPr>
        <w:shd w:val="clear" w:color="auto" w:fill="dbeafe"/>
        <w:spacing w:before="80" w:after="80"/>
        <w:ind w:left="170"/>
      </w:pPr>
      <w:r>
        <w:rPr>
          <w:b/>
          <w:sz w:val="20"/>
        </w:rPr>
        <w:t>★ Points clés à retenir</w:t>
      </w:r>
    </w:p>
    <w:p>
      <w:pPr>
        <w:pStyle w:val="ListBullet"/>
        <w:spacing w:after="40"/>
      </w:pPr>
      <w:r>
        <w:rPr>
          <w:sz w:val="20"/>
        </w:rPr>
        <w:t>DRPCE = Document Relatif à la Protection Contre les Explosions (pas DRPE)</w:t>
      </w:r>
    </w:p>
    <w:p>
      <w:pPr>
        <w:pStyle w:val="ListBullet"/>
        <w:spacing w:after="40"/>
      </w:pPr>
      <w:r>
        <w:rPr>
          <w:sz w:val="20"/>
        </w:rPr>
        <w:t>Révision systématique après TOUT incident ATEX, même mineur</w:t>
      </w:r>
    </w:p>
    <w:p>
      <w:pPr>
        <w:pStyle w:val="ListBullet"/>
        <w:spacing w:after="40"/>
      </w:pPr>
      <w:r>
        <w:rPr>
          <w:sz w:val="20"/>
        </w:rPr>
        <w:t>Accessible à tout intervenant, y compris les sous-traitants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5 — SÉLECTION ET QUALIFICATION DES ÉQUIPEMENTS Ex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659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x-exemple-marquage-lab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65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Étiquette ATEX réelle annotée — II 2G Ex ib IIC T4 Gb — Source Mabéo Industries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5.1 Règles de sélection — Dir. 2014/34/UE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Zone</w:t>
            </w:r>
          </w:p>
        </w:tc>
        <w:tc>
          <w:tcPr>
            <w:tcW w:type="dxa" w:w="1701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Catégorie gaz</w:t>
            </w:r>
          </w:p>
        </w:tc>
        <w:tc>
          <w:tcPr>
            <w:tcW w:type="dxa" w:w="1701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Catégorie poussières</w:t>
            </w:r>
          </w:p>
        </w:tc>
        <w:tc>
          <w:tcPr>
            <w:tcW w:type="dxa" w:w="3118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Mode de protection typique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20"/>
              </w:rPr>
              <w:t>Zone 0 / Zone 20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1G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1D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ia, ma, op is (sécurité très élevée)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20"/>
              </w:rPr>
              <w:t>Zone 1 / Zone 21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2G (ou 1G)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2D (ou 1D)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ib, d, e, mb, tb (sécurité élevée)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20"/>
              </w:rPr>
              <w:t>Zone 2 / Zone 22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3G (ou 1G/2G)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3D (ou 1D/2D)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ic, nA, ec, mc, tc (protection normale)</w:t>
            </w:r>
          </w:p>
        </w:tc>
      </w:tr>
    </w:tbl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5.2 La classe de température et la TAI</w:t>
      </w:r>
    </w:p>
    <w:p>
      <w:pPr>
        <w:pStyle w:val="ListBullet"/>
        <w:spacing w:after="40"/>
      </w:pPr>
      <w:r>
        <w:rPr>
          <w:sz w:val="20"/>
        </w:rPr>
        <w:t>La classe de température de l'équipement (T1 à T6) doit être inférieure à la TAI du produit présent</w:t>
      </w:r>
    </w:p>
    <w:p>
      <w:pPr>
        <w:pStyle w:val="ListBullet"/>
        <w:spacing w:after="40"/>
      </w:pPr>
      <w:r>
        <w:rPr>
          <w:sz w:val="20"/>
        </w:rPr>
        <w:t>TAI = Température d'Auto-Inflammation du produit (donnée dans la FDS)</w:t>
      </w:r>
    </w:p>
    <w:p>
      <w:pPr>
        <w:pStyle w:val="ListBullet"/>
        <w:spacing w:after="40"/>
      </w:pPr>
      <w:r>
        <w:rPr>
          <w:sz w:val="20"/>
        </w:rPr>
        <w:t>Exemple : essence (TAI 246°C) → équipement classé T3 (max 200°C) INSUFFISANT — utiliser T4 ou T5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5.3 Gestion du registre des équipements Ex</w:t>
      </w:r>
    </w:p>
    <w:p>
      <w:pPr>
        <w:pStyle w:val="ListBullet"/>
        <w:spacing w:after="40"/>
      </w:pPr>
      <w:r>
        <w:rPr>
          <w:sz w:val="20"/>
        </w:rPr>
        <w:t>Tenir un registre avec pour chaque équipement : référence, marquage Ex complet, certificat, zone d'installation, date de mise en service</w:t>
      </w:r>
    </w:p>
    <w:p>
      <w:pPr>
        <w:pStyle w:val="ListBullet"/>
        <w:spacing w:after="40"/>
      </w:pPr>
      <w:r>
        <w:rPr>
          <w:sz w:val="20"/>
        </w:rPr>
        <w:t>Planifier les inspections périodiques selon EN 60079-17 (visuelle, rapprochée, détaillée)</w:t>
      </w:r>
    </w:p>
    <w:p>
      <w:pPr>
        <w:pStyle w:val="ListBullet"/>
        <w:spacing w:after="40"/>
      </w:pPr>
      <w:r>
        <w:rPr>
          <w:sz w:val="20"/>
        </w:rPr>
        <w:t>Aucune modification d'un équipement Ex sans accord de l'organisme certificateur</w:t>
      </w:r>
    </w:p>
    <w:p>
      <w:pPr>
        <w:shd w:val="clear" w:color="auto" w:fill="dbeafe"/>
        <w:spacing w:before="80" w:after="80"/>
        <w:ind w:left="170"/>
      </w:pPr>
      <w:r>
        <w:rPr>
          <w:b/>
          <w:sz w:val="20"/>
        </w:rPr>
        <w:t>★ Points clés à retenir</w:t>
      </w:r>
    </w:p>
    <w:p>
      <w:pPr>
        <w:pStyle w:val="ListBullet"/>
        <w:spacing w:after="40"/>
      </w:pPr>
      <w:r>
        <w:rPr>
          <w:sz w:val="20"/>
        </w:rPr>
        <w:t>Catégorie supérieure toujours autorisée dans une zone de niveau inférieur</w:t>
      </w:r>
    </w:p>
    <w:p>
      <w:pPr>
        <w:pStyle w:val="ListBullet"/>
        <w:spacing w:after="40"/>
      </w:pPr>
      <w:r>
        <w:rPr>
          <w:sz w:val="20"/>
        </w:rPr>
        <w:t>Classe T° de l'équipement DOIT être &lt; TAI du produit présent (à vérifier dans la FDS)</w:t>
      </w:r>
    </w:p>
    <w:p>
      <w:pPr>
        <w:pStyle w:val="ListBullet"/>
        <w:spacing w:after="40"/>
      </w:pPr>
      <w:r>
        <w:rPr>
          <w:sz w:val="20"/>
        </w:rPr>
        <w:t>Registre équipements Ex = document vivant — à mettre à jour après chaque intervention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6 — ORGANISATION DES INTERVENTIONS EN ZONE ATEX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6.1 L'Autorisation de Travail (AT) — Responsabilité encadrant</w:t>
      </w:r>
    </w:p>
    <w:p>
      <w:r>
        <w:rPr>
          <w:b/>
          <w:i w:val="0"/>
          <w:sz w:val="21"/>
        </w:rPr>
        <w:t>L'encadrant NIV 2 est responsable du système d'AT sur son périmètre. Il doit :</w:t>
      </w:r>
    </w:p>
    <w:p>
      <w:pPr>
        <w:pStyle w:val="ListBullet"/>
        <w:spacing w:after="40"/>
      </w:pPr>
      <w:r>
        <w:rPr>
          <w:sz w:val="20"/>
        </w:rPr>
        <w:t>Définir et formaliser les procédures d'AT adaptées à chaque type d'intervention</w:t>
      </w:r>
    </w:p>
    <w:p>
      <w:pPr>
        <w:pStyle w:val="ListBullet"/>
        <w:spacing w:after="40"/>
      </w:pPr>
      <w:r>
        <w:rPr>
          <w:sz w:val="20"/>
        </w:rPr>
        <w:t>Désigner les personnes habilitées à délivrer les AT (personnes compétentes NIV 2)</w:t>
      </w:r>
    </w:p>
    <w:p>
      <w:pPr>
        <w:pStyle w:val="ListBullet"/>
        <w:spacing w:after="40"/>
      </w:pPr>
      <w:r>
        <w:rPr>
          <w:sz w:val="20"/>
        </w:rPr>
        <w:t>Vérifier que les AT sont réellement appliquées avant chaque intervention</w:t>
      </w:r>
    </w:p>
    <w:p>
      <w:pPr>
        <w:pStyle w:val="ListBullet"/>
        <w:spacing w:after="40"/>
      </w:pPr>
      <w:r>
        <w:rPr>
          <w:sz w:val="20"/>
        </w:rPr>
        <w:t>Archiver les AT et analyser les éventuels incidents lors des interventions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6.2 Le permis de feu — Procédure obligatoire</w:t>
      </w:r>
    </w:p>
    <w:p>
      <w:pPr>
        <w:shd w:val="clear" w:color="auto" w:fill="fee2e2"/>
        <w:spacing w:before="80" w:after="80"/>
        <w:ind w:left="170"/>
      </w:pPr>
      <w:r>
        <w:rPr>
          <w:b/>
          <w:sz w:val="20"/>
        </w:rPr>
        <w:t>Travaux par points chauds = 1ère cause d'accidents ATEX — le permis de feu est une barrière critique.</w:t>
      </w:r>
    </w:p>
    <w:p>
      <w:pPr>
        <w:pStyle w:val="ListBullet"/>
        <w:spacing w:after="40"/>
      </w:pPr>
      <w:r>
        <w:rPr>
          <w:sz w:val="20"/>
        </w:rPr>
        <w:t>Vérification atmosphérique AVANT les travaux (explosimètre — concentration &lt; 20% LIE)</w:t>
      </w:r>
    </w:p>
    <w:p>
      <w:pPr>
        <w:pStyle w:val="ListBullet"/>
        <w:spacing w:after="40"/>
      </w:pPr>
      <w:r>
        <w:rPr>
          <w:sz w:val="20"/>
        </w:rPr>
        <w:t>Vérification en continu PENDANT les travaux si risque résiduel</w:t>
      </w:r>
    </w:p>
    <w:p>
      <w:pPr>
        <w:pStyle w:val="ListBullet"/>
        <w:spacing w:after="40"/>
      </w:pPr>
      <w:r>
        <w:rPr>
          <w:sz w:val="20"/>
        </w:rPr>
        <w:t>Désignation d'un surveillant dédié (pas l'opérateur) pour les travaux à risque élevé</w:t>
      </w:r>
    </w:p>
    <w:p>
      <w:pPr>
        <w:pStyle w:val="ListBullet"/>
        <w:spacing w:after="40"/>
      </w:pPr>
      <w:r>
        <w:rPr>
          <w:sz w:val="20"/>
        </w:rPr>
        <w:t>Temps d'attente après les travaux avant de réactiver les installations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6.3 Gestion des modes dégradés</w:t>
      </w:r>
    </w:p>
    <w:p>
      <w:pPr>
        <w:pStyle w:val="ListBullet"/>
        <w:spacing w:after="40"/>
      </w:pPr>
      <w:r>
        <w:rPr>
          <w:sz w:val="20"/>
        </w:rPr>
        <w:t>Identifier les scénarios de mode dégradé pouvant créer une zone ATEX inattendue</w:t>
      </w:r>
    </w:p>
    <w:p>
      <w:pPr>
        <w:pStyle w:val="ListBullet"/>
        <w:spacing w:after="40"/>
      </w:pPr>
      <w:r>
        <w:rPr>
          <w:sz w:val="20"/>
        </w:rPr>
        <w:t>Prévoir des consignes spécifiques (arrêt d'urgence, confinement, évacuation)</w:t>
      </w:r>
    </w:p>
    <w:p>
      <w:pPr>
        <w:pStyle w:val="ListBullet"/>
        <w:spacing w:after="40"/>
      </w:pPr>
      <w:r>
        <w:rPr>
          <w:sz w:val="20"/>
        </w:rPr>
        <w:t>Former le personnel aux procédures de mode dégradé</w:t>
      </w:r>
    </w:p>
    <w:p>
      <w:pPr>
        <w:shd w:val="clear" w:color="auto" w:fill="dbeafe"/>
        <w:spacing w:before="80" w:after="80"/>
        <w:ind w:left="170"/>
      </w:pPr>
      <w:r>
        <w:rPr>
          <w:b/>
          <w:sz w:val="20"/>
        </w:rPr>
        <w:t>★ Points clés à retenir</w:t>
      </w:r>
    </w:p>
    <w:p>
      <w:pPr>
        <w:pStyle w:val="ListBullet"/>
        <w:spacing w:after="40"/>
      </w:pPr>
      <w:r>
        <w:rPr>
          <w:sz w:val="20"/>
        </w:rPr>
        <w:t>AT + permis de feu = barrières administratives indispensables</w:t>
      </w:r>
    </w:p>
    <w:p>
      <w:pPr>
        <w:pStyle w:val="ListBullet"/>
        <w:spacing w:after="40"/>
      </w:pPr>
      <w:r>
        <w:rPr>
          <w:sz w:val="20"/>
        </w:rPr>
        <w:t>Surveillance continue pour travaux à risque élevé : désigner un surveillant dédié</w:t>
      </w:r>
    </w:p>
    <w:p>
      <w:pPr>
        <w:pStyle w:val="ListBullet"/>
        <w:spacing w:after="40"/>
      </w:pPr>
      <w:r>
        <w:rPr>
          <w:sz w:val="20"/>
        </w:rPr>
        <w:t>Analyser chaque "presque-accident" pour améliorer les procédures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7 — GESTION DES ENTREPRISES EXTÉRIEURES EN ZONE ATEX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7.1 Le Plan de Prévention — Art. R4512-6 et R4512-7</w:t>
      </w:r>
    </w:p>
    <w:p>
      <w:r>
        <w:rPr>
          <w:b/>
          <w:i w:val="0"/>
          <w:sz w:val="21"/>
        </w:rPr>
        <w:t>Obligatoire dès qu'une entreprise extérieure (EE) intervient dans les locaux. Pour les zones ATEX, il doit inclure :</w:t>
      </w:r>
    </w:p>
    <w:p>
      <w:pPr>
        <w:pStyle w:val="ListBullet"/>
        <w:spacing w:after="40"/>
      </w:pPr>
      <w:r>
        <w:rPr>
          <w:sz w:val="20"/>
        </w:rPr>
        <w:t>La description précise de la zone ATEX concernée (zone, produits, risques spécifiques)</w:t>
      </w:r>
    </w:p>
    <w:p>
      <w:pPr>
        <w:pStyle w:val="ListBullet"/>
        <w:spacing w:after="40"/>
      </w:pPr>
      <w:r>
        <w:rPr>
          <w:sz w:val="20"/>
        </w:rPr>
        <w:t>Les équipements Ex requis pour l'intervention</w:t>
      </w:r>
    </w:p>
    <w:p>
      <w:pPr>
        <w:pStyle w:val="ListBullet"/>
        <w:spacing w:after="40"/>
      </w:pPr>
      <w:r>
        <w:rPr>
          <w:sz w:val="20"/>
        </w:rPr>
        <w:t>Les EPI antistatiques obligatoires</w:t>
      </w:r>
    </w:p>
    <w:p>
      <w:pPr>
        <w:pStyle w:val="ListBullet"/>
        <w:spacing w:after="40"/>
      </w:pPr>
      <w:r>
        <w:rPr>
          <w:sz w:val="20"/>
        </w:rPr>
        <w:t>La procédure AT et permis de feu applicable</w:t>
      </w:r>
    </w:p>
    <w:p>
      <w:pPr>
        <w:pStyle w:val="ListBullet"/>
        <w:spacing w:after="40"/>
      </w:pPr>
      <w:r>
        <w:rPr>
          <w:sz w:val="20"/>
        </w:rPr>
        <w:t>Les consignes d'urgence et voies d'évacuation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7.2 La vérification des habilitations sous-traitants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Document à vérifier</w:t>
            </w:r>
          </w:p>
        </w:tc>
        <w:tc>
          <w:tcPr>
            <w:tcW w:type="dxa" w:w="3118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Contenu</w:t>
            </w:r>
          </w:p>
        </w:tc>
        <w:tc>
          <w:tcPr>
            <w:tcW w:type="dxa" w:w="1701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Valide si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Attestation formation ATEX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Niveau requis (NIV 1 minimum pour intervenant)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&lt; 3 ans ou recyclage fait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Habilitation électrique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BR, BC, B2V selon la nature des travaux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Valide + non expirée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Certificats EPI Ex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Casque, vêtements, chaussures certifiés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Normes EN en cours de validité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Matériel certifié Ex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Marquage Ex adapté à la zone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Catégorie adaptée à la zone</w:t>
            </w:r>
          </w:p>
        </w:tc>
      </w:tr>
    </w:tbl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7.3 L'inspection commune</w:t>
      </w:r>
    </w:p>
    <w:p>
      <w:pPr>
        <w:pStyle w:val="ListBullet"/>
        <w:spacing w:after="40"/>
      </w:pPr>
      <w:r>
        <w:rPr>
          <w:sz w:val="20"/>
        </w:rPr>
        <w:t>Visite du site avec l'EE avant les travaux — obligations réglementaires</w:t>
      </w:r>
    </w:p>
    <w:p>
      <w:pPr>
        <w:pStyle w:val="ListBullet"/>
        <w:spacing w:after="40"/>
      </w:pPr>
      <w:r>
        <w:rPr>
          <w:sz w:val="20"/>
        </w:rPr>
        <w:t>Remise du DRPCE (parties concernées) et du plan de zonage à l'EE</w:t>
      </w:r>
    </w:p>
    <w:p>
      <w:pPr>
        <w:pStyle w:val="ListBullet"/>
        <w:spacing w:after="40"/>
      </w:pPr>
      <w:r>
        <w:rPr>
          <w:sz w:val="20"/>
        </w:rPr>
        <w:t>Signature du plan de prévention par l'EU (entreprise utilisatrice) et l'EE</w:t>
      </w:r>
    </w:p>
    <w:p>
      <w:pPr>
        <w:shd w:val="clear" w:color="auto" w:fill="dbeafe"/>
        <w:spacing w:before="80" w:after="80"/>
        <w:ind w:left="170"/>
      </w:pPr>
      <w:r>
        <w:rPr>
          <w:b/>
          <w:sz w:val="20"/>
        </w:rPr>
        <w:t>★ Points clés à retenir</w:t>
      </w:r>
    </w:p>
    <w:p>
      <w:pPr>
        <w:pStyle w:val="ListBullet"/>
        <w:spacing w:after="40"/>
      </w:pPr>
      <w:r>
        <w:rPr>
          <w:sz w:val="20"/>
        </w:rPr>
        <w:t>Plan de prévention obligatoire pour toute EE en zone ATEX — même intervention courte</w:t>
      </w:r>
    </w:p>
    <w:p>
      <w:pPr>
        <w:pStyle w:val="ListBullet"/>
        <w:spacing w:after="40"/>
      </w:pPr>
      <w:r>
        <w:rPr>
          <w:sz w:val="20"/>
        </w:rPr>
        <w:t>Vérifier systématiquement les attestations de formation ATEX des intervenants EE</w:t>
      </w:r>
    </w:p>
    <w:p>
      <w:pPr>
        <w:pStyle w:val="ListBullet"/>
        <w:spacing w:after="40"/>
      </w:pPr>
      <w:r>
        <w:rPr>
          <w:sz w:val="20"/>
        </w:rPr>
        <w:t>L'EU (entreprise utilisatrice) reste responsable de la sécurité de la zone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8 — SYSTÈMES DE DÉTECTION FIXE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8.1 Types de détecteurs et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2835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Adaptation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Catalytique (pellistor)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Oxydation catalytique sur filament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Gaz et vapeurs — robuste — entretien régulier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Infrarouge (IR)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Absorption radiation IR par le gaz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Insensible à l'oxygène — poussières non détectées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Électrochimique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Réaction chimique + courant électrique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Gaz toxiques — H₂S, CO, O₂ — très sélectif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Optique (open path)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Faisceau laser sur grande distance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Zones ouvertes — détection précoce à faible concentrat.</w:t>
            </w:r>
          </w:p>
        </w:tc>
      </w:tr>
    </w:tbl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8.2 Seuils d'alarme et actions associées</w:t>
      </w:r>
    </w:p>
    <w:p>
      <w:pPr>
        <w:shd w:val="clear" w:color="auto" w:fill="fff3cd"/>
        <w:spacing w:before="80" w:after="80"/>
        <w:ind w:left="170"/>
      </w:pPr>
      <w:r>
        <w:rPr>
          <w:b/>
          <w:sz w:val="20"/>
        </w:rPr>
        <w:t>Seuil bas 20% LIE → ALARME : arrêt des travaux + ventilation + contrôle</w:t>
        <w:br/>
        <w:t>Seuil haut 50% LIE → ALARME HAUTE : évacuation + arrêt process + secours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8.3 Maintenance des systèmes de détection</w:t>
      </w:r>
    </w:p>
    <w:p>
      <w:pPr>
        <w:pStyle w:val="ListBullet"/>
        <w:spacing w:after="40"/>
      </w:pPr>
      <w:r>
        <w:rPr>
          <w:sz w:val="20"/>
        </w:rPr>
        <w:t>Étalonnage périodique selon préconisations du fabricant (généralement mensuel ou trimestriel)</w:t>
      </w:r>
    </w:p>
    <w:p>
      <w:pPr>
        <w:pStyle w:val="ListBullet"/>
        <w:spacing w:after="40"/>
      </w:pPr>
      <w:r>
        <w:rPr>
          <w:sz w:val="20"/>
        </w:rPr>
        <w:t>Test de fonctionnement régulier (bump test ou injection gaz)</w:t>
      </w:r>
    </w:p>
    <w:p>
      <w:pPr>
        <w:pStyle w:val="ListBullet"/>
        <w:spacing w:after="40"/>
      </w:pPr>
      <w:r>
        <w:rPr>
          <w:sz w:val="20"/>
        </w:rPr>
        <w:t>Vérification des alarmes sonores et visuelles + transmission vers salle de contrôle</w:t>
      </w:r>
    </w:p>
    <w:p>
      <w:pPr>
        <w:pStyle w:val="ListBullet"/>
        <w:spacing w:after="40"/>
      </w:pPr>
      <w:r>
        <w:rPr>
          <w:sz w:val="20"/>
        </w:rPr>
        <w:t>Documentation de toutes les opérations de maintenance dans le registre</w:t>
      </w:r>
    </w:p>
    <w:p>
      <w:pPr>
        <w:pStyle w:val="ListBullet"/>
        <w:spacing w:after="40"/>
      </w:pPr>
      <w:r>
        <w:rPr>
          <w:sz w:val="20"/>
        </w:rPr>
        <w:t>Protocole de gestion en cas de défaillance d'un détecteur (zone de sécurité renforcée)</w:t>
      </w:r>
    </w:p>
    <w:p>
      <w:pPr>
        <w:shd w:val="clear" w:color="auto" w:fill="dbeafe"/>
        <w:spacing w:before="80" w:after="80"/>
        <w:ind w:left="170"/>
      </w:pPr>
      <w:r>
        <w:rPr>
          <w:b/>
          <w:sz w:val="20"/>
        </w:rPr>
        <w:t>★ Points clés à retenir</w:t>
      </w:r>
    </w:p>
    <w:p>
      <w:pPr>
        <w:pStyle w:val="ListBullet"/>
        <w:spacing w:after="40"/>
      </w:pPr>
      <w:r>
        <w:rPr>
          <w:sz w:val="20"/>
        </w:rPr>
        <w:t>Les systèmes de détection fixe NE remplacent PAS l'explosimètre portatif lors d'interventions</w:t>
      </w:r>
    </w:p>
    <w:p>
      <w:pPr>
        <w:pStyle w:val="ListBullet"/>
        <w:spacing w:after="40"/>
      </w:pPr>
      <w:r>
        <w:rPr>
          <w:sz w:val="20"/>
        </w:rPr>
        <w:t>Toute alarme = intervention réelle jusqu'à preuve du contraire — pas de "fausse alarme"</w:t>
      </w:r>
    </w:p>
    <w:p>
      <w:pPr>
        <w:pStyle w:val="ListBullet"/>
        <w:spacing w:after="40"/>
      </w:pPr>
      <w:r>
        <w:rPr>
          <w:sz w:val="20"/>
        </w:rPr>
        <w:t>Défaillance détecteur = renforcement des contrôles atmosphériques manuels en zone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9 — FORMER ET SENSIBILISER LES ÉQUIPES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9.1 La matrice de formation ATEX — INERIS §3.2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Niveau</w:t>
            </w:r>
          </w:p>
        </w:tc>
        <w:tc>
          <w:tcPr>
            <w:tcW w:type="dxa" w:w="1984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Profil ciblé</w:t>
            </w:r>
          </w:p>
        </w:tc>
        <w:tc>
          <w:tcPr>
            <w:tcW w:type="dxa" w:w="1417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Durée</w:t>
            </w:r>
          </w:p>
        </w:tc>
        <w:tc>
          <w:tcPr>
            <w:tcW w:type="dxa" w:w="2835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Contenu principal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20"/>
              </w:rPr>
              <w:t>NIV 0 §3.2.3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Personnel évoluant en zone ATEX</w:t>
            </w:r>
          </w:p>
        </w:tc>
        <w:tc>
          <w:tcPr>
            <w:tcW w:type="dxa" w:w="1417"/>
          </w:tcPr>
          <w:p>
            <w:r>
              <w:rPr>
                <w:b w:val="0"/>
                <w:sz w:val="20"/>
              </w:rPr>
              <w:t>2h distanciel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Sensibilisation : ATEX, zonage, EPI, interdictions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20"/>
              </w:rPr>
              <w:t>NIV 1 §3.2.4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Intervenant sur équipements Ex</w:t>
            </w:r>
          </w:p>
        </w:tc>
        <w:tc>
          <w:tcPr>
            <w:tcW w:type="dxa" w:w="1417"/>
          </w:tcPr>
          <w:p>
            <w:r>
              <w:rPr>
                <w:b w:val="0"/>
                <w:sz w:val="20"/>
              </w:rPr>
              <w:t>4h distanciel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Marquage Ex, EPI, AT, explosimètre, urgences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20"/>
              </w:rPr>
              <w:t>NIV 2 §3.2.1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Encadrant / Référent ATEX</w:t>
            </w:r>
          </w:p>
        </w:tc>
        <w:tc>
          <w:tcPr>
            <w:tcW w:type="dxa" w:w="1417"/>
          </w:tcPr>
          <w:p>
            <w:r>
              <w:rPr>
                <w:b w:val="0"/>
                <w:sz w:val="20"/>
              </w:rPr>
              <w:t>7h distanciel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DRPCE, zonage, sous-traitants, systèmes détection</w:t>
            </w:r>
          </w:p>
        </w:tc>
      </w:tr>
    </w:tbl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9.2 Planification et suivi des formations</w:t>
      </w:r>
    </w:p>
    <w:p>
      <w:pPr>
        <w:pStyle w:val="ListBullet"/>
        <w:spacing w:after="40"/>
      </w:pPr>
      <w:r>
        <w:rPr>
          <w:sz w:val="20"/>
        </w:rPr>
        <w:t>Recenser tous les postes avec exposition à des zones ATEX (NIV requis pour chaque poste)</w:t>
      </w:r>
    </w:p>
    <w:p>
      <w:pPr>
        <w:pStyle w:val="ListBullet"/>
        <w:spacing w:after="40"/>
      </w:pPr>
      <w:r>
        <w:rPr>
          <w:sz w:val="20"/>
        </w:rPr>
        <w:t>Planifier les formations initiales à l'embauche et les recyclages (tous les 3 ans)</w:t>
      </w:r>
    </w:p>
    <w:p>
      <w:pPr>
        <w:pStyle w:val="ListBullet"/>
        <w:spacing w:after="40"/>
      </w:pPr>
      <w:r>
        <w:rPr>
          <w:sz w:val="20"/>
        </w:rPr>
        <w:t>Tenir à jour le registre des habilitations (nom, niveau, date, date d'expiration)</w:t>
      </w:r>
    </w:p>
    <w:p>
      <w:pPr>
        <w:pStyle w:val="ListBullet"/>
        <w:spacing w:after="40"/>
      </w:pPr>
      <w:r>
        <w:rPr>
          <w:sz w:val="20"/>
        </w:rPr>
        <w:t>Inclure la formation ATEX dans le plan de formation annuel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9.3 Les supports de formation à disposition</w:t>
      </w:r>
    </w:p>
    <w:p>
      <w:pPr>
        <w:pStyle w:val="ListBullet"/>
        <w:spacing w:after="40"/>
      </w:pPr>
      <w:r>
        <w:rPr>
          <w:sz w:val="20"/>
        </w:rPr>
        <w:t>Livrets stagiaires NIV 0, NIV 1 et NIV 2 (Prévensia Groupe) avec images réelles et QCM</w:t>
      </w:r>
    </w:p>
    <w:p>
      <w:pPr>
        <w:pStyle w:val="ListBullet"/>
        <w:spacing w:after="40"/>
      </w:pPr>
      <w:r>
        <w:rPr>
          <w:sz w:val="20"/>
        </w:rPr>
        <w:t>Plateforme e-learning Prévensia : modules en ligne avec suivi et attestation automatique</w:t>
      </w:r>
    </w:p>
    <w:p>
      <w:pPr>
        <w:pStyle w:val="ListBullet"/>
        <w:spacing w:after="40"/>
      </w:pPr>
      <w:r>
        <w:rPr>
          <w:sz w:val="20"/>
        </w:rPr>
        <w:t>Guide formateur NIV 1 (Prévensia) : support distanciel 4h avec fiches modules et suivi</w:t>
      </w:r>
    </w:p>
    <w:p>
      <w:pPr>
        <w:pStyle w:val="ListBullet"/>
        <w:spacing w:after="40"/>
      </w:pPr>
      <w:r>
        <w:rPr>
          <w:sz w:val="20"/>
        </w:rPr>
        <w:t>Affiches INRS : signalisation de zone et bonnes pratiques ATEX</w:t>
      </w:r>
    </w:p>
    <w:p>
      <w:pPr>
        <w:shd w:val="clear" w:color="auto" w:fill="dbeafe"/>
        <w:spacing w:before="80" w:after="80"/>
        <w:ind w:left="170"/>
      </w:pPr>
      <w:r>
        <w:rPr>
          <w:b/>
          <w:sz w:val="20"/>
        </w:rPr>
        <w:t>★ Points clés à retenir</w:t>
      </w:r>
    </w:p>
    <w:p>
      <w:pPr>
        <w:pStyle w:val="ListBullet"/>
        <w:spacing w:after="40"/>
      </w:pPr>
      <w:r>
        <w:rPr>
          <w:sz w:val="20"/>
        </w:rPr>
        <w:t>NIV 0 = formation minimale obligatoire pour tout personnel en zone ATEX</w:t>
      </w:r>
    </w:p>
    <w:p>
      <w:pPr>
        <w:pStyle w:val="ListBullet"/>
        <w:spacing w:after="40"/>
      </w:pPr>
      <w:r>
        <w:rPr>
          <w:sz w:val="20"/>
        </w:rPr>
        <w:t>Recyclage recommandé tous les 3 ans ou après tout incident ATEX</w:t>
      </w:r>
    </w:p>
    <w:p>
      <w:pPr>
        <w:pStyle w:val="ListBullet"/>
        <w:spacing w:after="40"/>
      </w:pPr>
      <w:r>
        <w:rPr>
          <w:sz w:val="20"/>
        </w:rPr>
        <w:t>L'encadrant NIV 2 est responsable du suivi des habilitations de son équipe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10 — RETOUR D'EXPÉRIENCE — ACCIDENTS ATEX RÉELS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10.1 Les statistiques des accidents ATEX en France (source ARIA/BARPI)</w:t>
      </w:r>
    </w:p>
    <w:p>
      <w:pPr>
        <w:pStyle w:val="ListBullet"/>
        <w:spacing w:after="40"/>
      </w:pPr>
      <w:r>
        <w:rPr>
          <w:sz w:val="20"/>
        </w:rPr>
        <w:t>Environ 350 à 400 accidents ATEX recensés par an en France (base ARIA)</w:t>
      </w:r>
    </w:p>
    <w:p>
      <w:pPr>
        <w:pStyle w:val="ListBullet"/>
        <w:spacing w:after="40"/>
      </w:pPr>
      <w:r>
        <w:rPr>
          <w:sz w:val="20"/>
        </w:rPr>
        <w:t>1ère cause : travaux par points chauds sans permis de feu ou permis non respecté</w:t>
      </w:r>
    </w:p>
    <w:p>
      <w:pPr>
        <w:pStyle w:val="ListBullet"/>
        <w:spacing w:after="40"/>
      </w:pPr>
      <w:r>
        <w:rPr>
          <w:sz w:val="20"/>
        </w:rPr>
        <w:t>2ème cause : défaillance d'équipement électrique non certifié Ex ou dégradé</w:t>
      </w:r>
    </w:p>
    <w:p>
      <w:pPr>
        <w:pStyle w:val="ListBullet"/>
        <w:spacing w:after="40"/>
      </w:pPr>
      <w:r>
        <w:rPr>
          <w:sz w:val="20"/>
        </w:rPr>
        <w:t>3ème cause : électricité statique (remplissage, transvasement, nettoyage)</w:t>
      </w:r>
    </w:p>
    <w:p>
      <w:pPr>
        <w:pStyle w:val="ListBullet"/>
        <w:spacing w:after="40"/>
      </w:pPr>
      <w:r>
        <w:rPr>
          <w:sz w:val="20"/>
        </w:rPr>
        <w:t>Secteurs les plus touchés : chimie, pétrochimie, agroalimentaire, bois/papier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10.2 Analyse d'un accident type — La leçon tirée</w:t>
      </w:r>
    </w:p>
    <w:p>
      <w:pPr>
        <w:shd w:val="clear" w:color="auto" w:fill="fff3cd"/>
        <w:spacing w:before="80" w:after="80"/>
        <w:ind w:left="170"/>
      </w:pPr>
      <w:r>
        <w:rPr>
          <w:b/>
          <w:sz w:val="20"/>
        </w:rPr>
        <w:t>Exemple : explosion en atelier de peinture lors de travaux de soudure</w:t>
      </w:r>
    </w:p>
    <w:p>
      <w:pPr>
        <w:pStyle w:val="ListBullet"/>
        <w:spacing w:after="40"/>
      </w:pPr>
      <w:r>
        <w:rPr>
          <w:sz w:val="20"/>
        </w:rPr>
        <w:t>Cause directe : arc électrique de soudure en zone 1 sans permis de feu</w:t>
      </w:r>
    </w:p>
    <w:p>
      <w:pPr>
        <w:pStyle w:val="ListBullet"/>
        <w:spacing w:after="40"/>
      </w:pPr>
      <w:r>
        <w:rPr>
          <w:sz w:val="20"/>
        </w:rPr>
        <w:t>Cause organisationnelle : absence de plan de prévention avec le sous-traitant</w:t>
      </w:r>
    </w:p>
    <w:p>
      <w:pPr>
        <w:pStyle w:val="ListBullet"/>
        <w:spacing w:after="40"/>
      </w:pPr>
      <w:r>
        <w:rPr>
          <w:sz w:val="20"/>
        </w:rPr>
        <w:t>Cause systémique : absence de formation ATEX du soudeur et de l'encadrant</w:t>
      </w:r>
    </w:p>
    <w:p>
      <w:pPr>
        <w:pStyle w:val="ListBullet"/>
        <w:spacing w:after="40"/>
      </w:pPr>
      <w:r>
        <w:rPr>
          <w:sz w:val="20"/>
        </w:rPr>
        <w:t>→ Leçon : le plan de prévention + la formation ATEX auraient prévenu l'accident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10.3 La méthode REX pour l'encadrant</w:t>
      </w:r>
    </w:p>
    <w:p>
      <w:pPr>
        <w:pStyle w:val="ListBullet"/>
        <w:spacing w:after="40"/>
      </w:pPr>
      <w:r>
        <w:rPr>
          <w:sz w:val="20"/>
        </w:rPr>
        <w:t>Analyser TOUT incident ATEX, même mineur ("presque-accident")</w:t>
      </w:r>
    </w:p>
    <w:p>
      <w:pPr>
        <w:pStyle w:val="ListBullet"/>
        <w:spacing w:after="40"/>
      </w:pPr>
      <w:r>
        <w:rPr>
          <w:sz w:val="20"/>
        </w:rPr>
        <w:t>Identifier les causes racines (5 pourquoi, diagramme d'Ishikawa)</w:t>
      </w:r>
    </w:p>
    <w:p>
      <w:pPr>
        <w:pStyle w:val="ListBullet"/>
        <w:spacing w:after="40"/>
      </w:pPr>
      <w:r>
        <w:rPr>
          <w:sz w:val="20"/>
        </w:rPr>
        <w:t>Mettre en place des actions correctives documentées et suivies</w:t>
      </w:r>
    </w:p>
    <w:p>
      <w:pPr>
        <w:pStyle w:val="ListBullet"/>
        <w:spacing w:after="40"/>
      </w:pPr>
      <w:r>
        <w:rPr>
          <w:sz w:val="20"/>
        </w:rPr>
        <w:t>Partager les enseignements avec l'équipe (réunion de sécurité, affichage)</w:t>
      </w:r>
    </w:p>
    <w:p>
      <w:pPr>
        <w:shd w:val="clear" w:color="auto" w:fill="dbeafe"/>
        <w:spacing w:before="80" w:after="80"/>
        <w:ind w:left="170"/>
      </w:pPr>
      <w:r>
        <w:rPr>
          <w:b/>
          <w:sz w:val="20"/>
        </w:rPr>
        <w:t>★ Points clés à retenir</w:t>
      </w:r>
    </w:p>
    <w:p>
      <w:pPr>
        <w:pStyle w:val="ListBullet"/>
        <w:spacing w:after="40"/>
      </w:pPr>
      <w:r>
        <w:rPr>
          <w:sz w:val="20"/>
        </w:rPr>
        <w:t>Chaque "presque-accident" est une opportunité d'amélioration — le signaler et l'analyser</w:t>
      </w:r>
    </w:p>
    <w:p>
      <w:pPr>
        <w:pStyle w:val="ListBullet"/>
        <w:spacing w:after="40"/>
      </w:pPr>
      <w:r>
        <w:rPr>
          <w:sz w:val="20"/>
        </w:rPr>
        <w:t>La culture de la sécurité commence par le partage des REX sans sanction</w:t>
      </w:r>
    </w:p>
    <w:p>
      <w:pPr>
        <w:pStyle w:val="ListBullet"/>
        <w:spacing w:after="40"/>
      </w:pPr>
      <w:r>
        <w:rPr>
          <w:sz w:val="20"/>
        </w:rPr>
        <w:t>Mettre à jour le DRPCE après chaque REX significatif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11 — SYNTHÈSE ET PRÉPARATION À LA CLASSE VIRTUELLE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0985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x-bonnes-pratiques-in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09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INRS — Bonnes pratiques ATEX (affiche officielle) — Référence pour la sensibilisation des équipes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Les 12 responsabilités de l'encadrant ATEX NIV 2</w:t>
      </w:r>
    </w:p>
    <w:p>
      <w:pPr>
        <w:pStyle w:val="ListBullet"/>
        <w:spacing w:after="40"/>
      </w:pPr>
      <w:r>
        <w:rPr>
          <w:sz w:val="20"/>
        </w:rPr>
        <w:t>1. Maîtriser le cadre légal ATEX et ses implications pour son poste.</w:t>
      </w:r>
    </w:p>
    <w:p>
      <w:pPr>
        <w:pStyle w:val="ListBullet"/>
        <w:spacing w:after="40"/>
      </w:pPr>
      <w:r>
        <w:rPr>
          <w:sz w:val="20"/>
        </w:rPr>
        <w:t>2. Réaliser ou superviser l'évaluation des risques explosion (méthode rigoureuse).</w:t>
      </w:r>
    </w:p>
    <w:p>
      <w:pPr>
        <w:pStyle w:val="ListBullet"/>
        <w:spacing w:after="40"/>
      </w:pPr>
      <w:r>
        <w:rPr>
          <w:sz w:val="20"/>
        </w:rPr>
        <w:t>3. Établir et valider le plan de zonage avec les zones 0/1/2 et 20/21/22.</w:t>
      </w:r>
    </w:p>
    <w:p>
      <w:pPr>
        <w:pStyle w:val="ListBullet"/>
        <w:spacing w:after="40"/>
      </w:pPr>
      <w:r>
        <w:rPr>
          <w:sz w:val="20"/>
        </w:rPr>
        <w:t>4. Rédiger, maintenir à jour et diffuser le DRPCE (Art. R4227-52).</w:t>
      </w:r>
    </w:p>
    <w:p>
      <w:pPr>
        <w:pStyle w:val="ListBullet"/>
        <w:spacing w:after="40"/>
      </w:pPr>
      <w:r>
        <w:rPr>
          <w:sz w:val="20"/>
        </w:rPr>
        <w:t>5. Sélectionner les équipements Ex en adéquation avec les zones (catégorie + classe T°).</w:t>
      </w:r>
    </w:p>
    <w:p>
      <w:pPr>
        <w:pStyle w:val="ListBullet"/>
        <w:spacing w:after="40"/>
      </w:pPr>
      <w:r>
        <w:rPr>
          <w:sz w:val="20"/>
        </w:rPr>
        <w:t>6. Définir et faire appliquer les procédures d'AT et de permis de feu.</w:t>
      </w:r>
    </w:p>
    <w:p>
      <w:pPr>
        <w:pStyle w:val="ListBullet"/>
        <w:spacing w:after="40"/>
      </w:pPr>
      <w:r>
        <w:rPr>
          <w:sz w:val="20"/>
        </w:rPr>
        <w:t>7. Rédiger les plans de prévention avec les entreprises extérieures.</w:t>
      </w:r>
    </w:p>
    <w:p>
      <w:pPr>
        <w:pStyle w:val="ListBullet"/>
        <w:spacing w:after="40"/>
      </w:pPr>
      <w:r>
        <w:rPr>
          <w:sz w:val="20"/>
        </w:rPr>
        <w:t>8. Vérifier les habilitations ATEX des sous-traitants avant toute intervention.</w:t>
      </w:r>
    </w:p>
    <w:p>
      <w:pPr>
        <w:pStyle w:val="ListBullet"/>
        <w:spacing w:after="40"/>
      </w:pPr>
      <w:r>
        <w:rPr>
          <w:sz w:val="20"/>
        </w:rPr>
        <w:t>9. Gérer et maintenir les systèmes de détection fixe (étalonnage, tests, registre).</w:t>
      </w:r>
    </w:p>
    <w:p>
      <w:pPr>
        <w:pStyle w:val="ListBullet"/>
        <w:spacing w:after="40"/>
      </w:pPr>
      <w:r>
        <w:rPr>
          <w:sz w:val="20"/>
        </w:rPr>
        <w:t>10. Planifier et assurer le suivi des formations NIV 0, NIV 1 et NIV 2 de l'équipe.</w:t>
      </w:r>
    </w:p>
    <w:p>
      <w:pPr>
        <w:pStyle w:val="ListBullet"/>
        <w:spacing w:after="40"/>
      </w:pPr>
      <w:r>
        <w:rPr>
          <w:sz w:val="20"/>
        </w:rPr>
        <w:t>11. Analyser les REX d'accidents et mettre à jour le DRPCE en conséquence.</w:t>
      </w:r>
    </w:p>
    <w:p>
      <w:pPr>
        <w:pStyle w:val="ListBullet"/>
        <w:spacing w:after="40"/>
      </w:pPr>
      <w:r>
        <w:rPr>
          <w:sz w:val="20"/>
        </w:rPr>
        <w:t>12. Préparer et participer à la classe virtuelle de validation des acquis.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Préparation à la classe virtuelle</w:t>
      </w:r>
    </w:p>
    <w:p>
      <w:pPr>
        <w:shd w:val="clear" w:color="auto" w:fill="dbeafe"/>
        <w:spacing w:before="80" w:after="80"/>
        <w:ind w:left="170"/>
      </w:pPr>
      <w:r>
        <w:rPr>
          <w:b/>
          <w:sz w:val="20"/>
        </w:rPr>
        <w:t>La classe virtuelle de validation (2h) permet de vérifier la maîtrise des compétences encadrant. Préparez les documents suivants :</w:t>
      </w:r>
    </w:p>
    <w:p>
      <w:pPr>
        <w:pStyle w:val="ListBullet"/>
        <w:spacing w:after="40"/>
      </w:pPr>
      <w:r>
        <w:rPr>
          <w:sz w:val="20"/>
        </w:rPr>
        <w:t>Exemple de plan de zonage d'une installation de votre établissement (ou fictif)</w:t>
      </w:r>
    </w:p>
    <w:p>
      <w:pPr>
        <w:pStyle w:val="ListBullet"/>
        <w:spacing w:after="40"/>
      </w:pPr>
      <w:r>
        <w:rPr>
          <w:sz w:val="20"/>
        </w:rPr>
        <w:t>Structure d'un DRPCE pour votre secteur d'activité</w:t>
      </w:r>
    </w:p>
    <w:p>
      <w:pPr>
        <w:pStyle w:val="ListBullet"/>
        <w:spacing w:after="40"/>
      </w:pPr>
      <w:r>
        <w:rPr>
          <w:sz w:val="20"/>
        </w:rPr>
        <w:t>Cas pratique : analyse d'un scenario de risque ATEX à résoudre</w:t>
      </w:r>
    </w:p>
    <w:p>
      <w:pPr>
        <w:shd w:val="clear" w:color="auto" w:fill="dbeafe"/>
        <w:spacing w:before="80" w:after="80"/>
        <w:ind w:left="170"/>
      </w:pPr>
      <w:r>
        <w:rPr>
          <w:b/>
          <w:sz w:val="20"/>
        </w:rPr>
        <w:t>★ Points clés à retenir</w:t>
      </w:r>
    </w:p>
    <w:p>
      <w:pPr>
        <w:pStyle w:val="ListBullet"/>
        <w:spacing w:after="40"/>
      </w:pPr>
      <w:r>
        <w:rPr>
          <w:sz w:val="20"/>
        </w:rPr>
        <w:t>NIV 2 = responsabilité + compétence + autorité sur la démarche ATEX du site</w:t>
      </w:r>
    </w:p>
    <w:p>
      <w:pPr>
        <w:pStyle w:val="ListBullet"/>
        <w:spacing w:after="40"/>
      </w:pPr>
      <w:r>
        <w:rPr>
          <w:sz w:val="20"/>
        </w:rPr>
        <w:t>Le DRPCE est votre outil central — maîtrisez sa rédaction et sa mise à jour</w:t>
      </w:r>
    </w:p>
    <w:p>
      <w:pPr>
        <w:pStyle w:val="ListBullet"/>
        <w:spacing w:after="40"/>
      </w:pPr>
      <w:r>
        <w:rPr>
          <w:sz w:val="20"/>
        </w:rPr>
        <w:t>La classe virtuelle valide la capacité à transposer les acquis à votre situation réelle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e67e00"/>
        <w:spacing w:before="200" w:after="100"/>
      </w:pPr>
      <w:r>
        <w:rPr>
          <w:b/>
          <w:color w:val="FFFFFF"/>
          <w:sz w:val="26"/>
        </w:rPr>
        <w:t>QCM D'ÉVALUATION — 15 QUESTIONS</w:t>
      </w:r>
    </w:p>
    <w:p>
      <w:pPr>
        <w:shd w:val="clear" w:color="auto" w:fill="fff3cd"/>
        <w:spacing w:before="80" w:after="80"/>
        <w:ind w:left="170"/>
      </w:pPr>
      <w:r>
        <w:rPr>
          <w:b/>
          <w:sz w:val="20"/>
        </w:rPr>
        <w:t>15 questions — Cochez la bonne réponse — Seuil de réussite : 80% (≥ 12/15)</w:t>
      </w:r>
    </w:p>
    <w:p/>
    <w:p>
      <w:pPr>
        <w:spacing w:before="160" w:after="60"/>
      </w:pPr>
      <w:r>
        <w:rPr>
          <w:b/>
          <w:color w:val="1A4E8C"/>
          <w:sz w:val="21"/>
        </w:rPr>
        <w:t>Question 1 — Selon INERIS §3.2.1, quel est le rôle principal de l'encadrant ATEX NIV 2 ?</w:t>
      </w:r>
    </w:p>
    <w:p>
      <w:pPr>
        <w:spacing w:after="40"/>
        <w:ind w:left="567"/>
      </w:pPr>
      <w:r>
        <w:rPr>
          <w:sz w:val="20"/>
        </w:rPr>
        <w:t>A.  Intervenir personnellement sur tous les équipements Ex</w:t>
      </w:r>
    </w:p>
    <w:p>
      <w:pPr>
        <w:spacing w:after="40"/>
        <w:ind w:left="567"/>
      </w:pPr>
      <w:r>
        <w:rPr>
          <w:sz w:val="20"/>
        </w:rPr>
        <w:t>B.  Piloter la démarche ATEX, rédiger le DRPCE et gérer les sous-traitants</w:t>
      </w:r>
    </w:p>
    <w:p>
      <w:pPr>
        <w:spacing w:after="40"/>
        <w:ind w:left="567"/>
      </w:pPr>
      <w:r>
        <w:rPr>
          <w:sz w:val="20"/>
        </w:rPr>
        <w:t>C.  Former uniquement les nouveaux arrivants</w:t>
      </w:r>
    </w:p>
    <w:p>
      <w:pPr>
        <w:spacing w:after="40"/>
        <w:ind w:left="567"/>
      </w:pPr>
      <w:r>
        <w:rPr>
          <w:sz w:val="20"/>
        </w:rPr>
        <w:t>D.  Superviser la maintenance électrique uniquement</w:t>
      </w:r>
    </w:p>
    <w:p/>
    <w:p>
      <w:pPr>
        <w:spacing w:before="160" w:after="60"/>
      </w:pPr>
      <w:r>
        <w:rPr>
          <w:b/>
          <w:color w:val="1A4E8C"/>
          <w:sz w:val="21"/>
        </w:rPr>
        <w:t>Question 2 — Quel article du Code du travail rend le DRPCE obligatoire ?</w:t>
      </w:r>
    </w:p>
    <w:p>
      <w:pPr>
        <w:spacing w:after="40"/>
        <w:ind w:left="567"/>
      </w:pPr>
      <w:r>
        <w:rPr>
          <w:sz w:val="20"/>
        </w:rPr>
        <w:t>A.  Art. R4227-50</w:t>
      </w:r>
    </w:p>
    <w:p>
      <w:pPr>
        <w:spacing w:after="40"/>
        <w:ind w:left="567"/>
      </w:pPr>
      <w:r>
        <w:rPr>
          <w:sz w:val="20"/>
        </w:rPr>
        <w:t>B.  Art. R4227-52</w:t>
      </w:r>
    </w:p>
    <w:p>
      <w:pPr>
        <w:spacing w:after="40"/>
        <w:ind w:left="567"/>
      </w:pPr>
      <w:r>
        <w:rPr>
          <w:sz w:val="20"/>
        </w:rPr>
        <w:t>C.  Art. R4515-8</w:t>
      </w:r>
    </w:p>
    <w:p>
      <w:pPr>
        <w:spacing w:after="40"/>
        <w:ind w:left="567"/>
      </w:pPr>
      <w:r>
        <w:rPr>
          <w:sz w:val="20"/>
        </w:rPr>
        <w:t>D.  Dir. 1999/92/CE Art. 8</w:t>
      </w:r>
    </w:p>
    <w:p/>
    <w:p>
      <w:pPr>
        <w:spacing w:before="160" w:after="60"/>
      </w:pPr>
      <w:r>
        <w:rPr>
          <w:b/>
          <w:color w:val="1A4E8C"/>
          <w:sz w:val="21"/>
        </w:rPr>
        <w:t>Question 3 — Quelle est la catégorie d'équipement Ex requise pour une Zone 1 (gaz) ?</w:t>
      </w:r>
    </w:p>
    <w:p>
      <w:pPr>
        <w:spacing w:after="40"/>
        <w:ind w:left="567"/>
      </w:pPr>
      <w:r>
        <w:rPr>
          <w:sz w:val="20"/>
        </w:rPr>
        <w:t>A.  Catégorie 3G uniquement</w:t>
      </w:r>
    </w:p>
    <w:p>
      <w:pPr>
        <w:spacing w:after="40"/>
        <w:ind w:left="567"/>
      </w:pPr>
      <w:r>
        <w:rPr>
          <w:sz w:val="20"/>
        </w:rPr>
        <w:t>B.  Catégorie 1G ou 2G</w:t>
      </w:r>
    </w:p>
    <w:p>
      <w:pPr>
        <w:spacing w:after="40"/>
        <w:ind w:left="567"/>
      </w:pPr>
      <w:r>
        <w:rPr>
          <w:sz w:val="20"/>
        </w:rPr>
        <w:t>C.  Catégorie 1D</w:t>
      </w:r>
    </w:p>
    <w:p>
      <w:pPr>
        <w:spacing w:after="40"/>
        <w:ind w:left="567"/>
      </w:pPr>
      <w:r>
        <w:rPr>
          <w:sz w:val="20"/>
        </w:rPr>
        <w:t>D.  Catégorie 2D</w:t>
      </w:r>
    </w:p>
    <w:p/>
    <w:p>
      <w:pPr>
        <w:spacing w:before="160" w:after="60"/>
      </w:pPr>
      <w:r>
        <w:rPr>
          <w:b/>
          <w:color w:val="1A4E8C"/>
          <w:sz w:val="21"/>
        </w:rPr>
        <w:t>Question 4 — À quel moment le DRPCE doit-il obligatoirement être révisé ?</w:t>
      </w:r>
    </w:p>
    <w:p>
      <w:pPr>
        <w:spacing w:after="40"/>
        <w:ind w:left="567"/>
      </w:pPr>
      <w:r>
        <w:rPr>
          <w:sz w:val="20"/>
        </w:rPr>
        <w:t>A.  Uniquement lors des audits annuels</w:t>
      </w:r>
    </w:p>
    <w:p>
      <w:pPr>
        <w:spacing w:after="40"/>
        <w:ind w:left="567"/>
      </w:pPr>
      <w:r>
        <w:rPr>
          <w:sz w:val="20"/>
        </w:rPr>
        <w:t>B.  Après toute modification significative de l'installation ET après tout incident ATEX</w:t>
      </w:r>
    </w:p>
    <w:p>
      <w:pPr>
        <w:spacing w:after="40"/>
        <w:ind w:left="567"/>
      </w:pPr>
      <w:r>
        <w:rPr>
          <w:sz w:val="20"/>
        </w:rPr>
        <w:t>C.  Tous les 5 ans</w:t>
      </w:r>
    </w:p>
    <w:p>
      <w:pPr>
        <w:spacing w:after="40"/>
        <w:ind w:left="567"/>
      </w:pPr>
      <w:r>
        <w:rPr>
          <w:sz w:val="20"/>
        </w:rPr>
        <w:t>D.  Uniquement lors d'une inspection DREAL</w:t>
      </w:r>
    </w:p>
    <w:p/>
    <w:p>
      <w:pPr>
        <w:spacing w:before="160" w:after="60"/>
      </w:pPr>
      <w:r>
        <w:rPr>
          <w:b/>
          <w:color w:val="1A4E8C"/>
          <w:sz w:val="21"/>
        </w:rPr>
        <w:t>Question 5 — La classe de température T4 d'un équipement Ex signifie que sa surface ne dépasse pas :</w:t>
      </w:r>
    </w:p>
    <w:p>
      <w:pPr>
        <w:spacing w:after="40"/>
        <w:ind w:left="567"/>
      </w:pPr>
      <w:r>
        <w:rPr>
          <w:sz w:val="20"/>
        </w:rPr>
        <w:t>A.  200°C</w:t>
      </w:r>
    </w:p>
    <w:p>
      <w:pPr>
        <w:spacing w:after="40"/>
        <w:ind w:left="567"/>
      </w:pPr>
      <w:r>
        <w:rPr>
          <w:sz w:val="20"/>
        </w:rPr>
        <w:t>B.  300°C</w:t>
      </w:r>
    </w:p>
    <w:p>
      <w:pPr>
        <w:spacing w:after="40"/>
        <w:ind w:left="567"/>
      </w:pPr>
      <w:r>
        <w:rPr>
          <w:sz w:val="20"/>
        </w:rPr>
        <w:t>C.  135°C</w:t>
      </w:r>
    </w:p>
    <w:p>
      <w:pPr>
        <w:spacing w:after="40"/>
        <w:ind w:left="567"/>
      </w:pPr>
      <w:r>
        <w:rPr>
          <w:sz w:val="20"/>
        </w:rPr>
        <w:t>D.  85°C</w:t>
      </w:r>
    </w:p>
    <w:p/>
    <w:p>
      <w:pPr>
        <w:spacing w:before="160" w:after="60"/>
      </w:pPr>
      <w:r>
        <w:rPr>
          <w:b/>
          <w:color w:val="1A4E8C"/>
          <w:sz w:val="21"/>
        </w:rPr>
        <w:t>Question 6 — Quel document est obligatoire dès qu'une entreprise extérieure intervient en zone ATEX ?</w:t>
      </w:r>
    </w:p>
    <w:p>
      <w:pPr>
        <w:spacing w:after="40"/>
        <w:ind w:left="567"/>
      </w:pPr>
      <w:r>
        <w:rPr>
          <w:sz w:val="20"/>
        </w:rPr>
        <w:t>A.  L'autorisation de travail uniquement</w:t>
      </w:r>
    </w:p>
    <w:p>
      <w:pPr>
        <w:spacing w:after="40"/>
        <w:ind w:left="567"/>
      </w:pPr>
      <w:r>
        <w:rPr>
          <w:sz w:val="20"/>
        </w:rPr>
        <w:t>B.  Le permis de feu uniquement</w:t>
      </w:r>
    </w:p>
    <w:p>
      <w:pPr>
        <w:spacing w:after="40"/>
        <w:ind w:left="567"/>
      </w:pPr>
      <w:r>
        <w:rPr>
          <w:sz w:val="20"/>
        </w:rPr>
        <w:t>C.  Le plan de prévention (Art. R4512-6) + l'AT + le permis de feu si applicable</w:t>
      </w:r>
    </w:p>
    <w:p>
      <w:pPr>
        <w:spacing w:after="40"/>
        <w:ind w:left="567"/>
      </w:pPr>
      <w:r>
        <w:rPr>
          <w:sz w:val="20"/>
        </w:rPr>
        <w:t>D.  La délégation de pouvoir</w:t>
      </w:r>
    </w:p>
    <w:p/>
    <w:p>
      <w:pPr>
        <w:spacing w:before="160" w:after="60"/>
      </w:pPr>
      <w:r>
        <w:rPr>
          <w:b/>
          <w:color w:val="1A4E8C"/>
          <w:sz w:val="21"/>
        </w:rPr>
        <w:t>Question 7 — Quel est le seuil d'alarme basse standard d'un système de détection fixe ?</w:t>
      </w:r>
    </w:p>
    <w:p>
      <w:pPr>
        <w:spacing w:after="40"/>
        <w:ind w:left="567"/>
      </w:pPr>
      <w:r>
        <w:rPr>
          <w:sz w:val="20"/>
        </w:rPr>
        <w:t>A.  5% de la LIE</w:t>
      </w:r>
    </w:p>
    <w:p>
      <w:pPr>
        <w:spacing w:after="40"/>
        <w:ind w:left="567"/>
      </w:pPr>
      <w:r>
        <w:rPr>
          <w:sz w:val="20"/>
        </w:rPr>
        <w:t>B.  10% de la LIE</w:t>
      </w:r>
    </w:p>
    <w:p>
      <w:pPr>
        <w:spacing w:after="40"/>
        <w:ind w:left="567"/>
      </w:pPr>
      <w:r>
        <w:rPr>
          <w:sz w:val="20"/>
        </w:rPr>
        <w:t>C.  20% de la LIE</w:t>
      </w:r>
    </w:p>
    <w:p>
      <w:pPr>
        <w:spacing w:after="40"/>
        <w:ind w:left="567"/>
      </w:pPr>
      <w:r>
        <w:rPr>
          <w:sz w:val="20"/>
        </w:rPr>
        <w:t>D.  50% de la LIE</w:t>
      </w:r>
    </w:p>
    <w:p/>
    <w:p>
      <w:pPr>
        <w:spacing w:before="160" w:after="60"/>
      </w:pPr>
      <w:r>
        <w:rPr>
          <w:b/>
          <w:color w:val="1A4E8C"/>
          <w:sz w:val="21"/>
        </w:rPr>
        <w:t>Question 8 — Quelle norme régit l'inspection et la maintenance des équipements Ex ?</w:t>
      </w:r>
    </w:p>
    <w:p>
      <w:pPr>
        <w:spacing w:after="40"/>
        <w:ind w:left="567"/>
      </w:pPr>
      <w:r>
        <w:rPr>
          <w:sz w:val="20"/>
        </w:rPr>
        <w:t>A.  EN 60079-14</w:t>
      </w:r>
    </w:p>
    <w:p>
      <w:pPr>
        <w:spacing w:after="40"/>
        <w:ind w:left="567"/>
      </w:pPr>
      <w:r>
        <w:rPr>
          <w:sz w:val="20"/>
        </w:rPr>
        <w:t>B.  EN 60079-17</w:t>
      </w:r>
    </w:p>
    <w:p>
      <w:pPr>
        <w:spacing w:after="40"/>
        <w:ind w:left="567"/>
      </w:pPr>
      <w:r>
        <w:rPr>
          <w:sz w:val="20"/>
        </w:rPr>
        <w:t>C.  EN 13463-1</w:t>
      </w:r>
    </w:p>
    <w:p>
      <w:pPr>
        <w:spacing w:after="40"/>
        <w:ind w:left="567"/>
      </w:pPr>
      <w:r>
        <w:rPr>
          <w:sz w:val="20"/>
        </w:rPr>
        <w:t>D.  EN 1149-5</w:t>
      </w:r>
    </w:p>
    <w:p/>
    <w:p>
      <w:pPr>
        <w:spacing w:before="160" w:after="60"/>
      </w:pPr>
      <w:r>
        <w:rPr>
          <w:b/>
          <w:color w:val="1A4E8C"/>
          <w:sz w:val="21"/>
        </w:rPr>
        <w:t>Question 9 — Lors de la sélection d'un équipement pour une Zone 0, quelle catégorie est requise ?</w:t>
      </w:r>
    </w:p>
    <w:p>
      <w:pPr>
        <w:spacing w:after="40"/>
        <w:ind w:left="567"/>
      </w:pPr>
      <w:r>
        <w:rPr>
          <w:sz w:val="20"/>
        </w:rPr>
        <w:t>A.  Catégorie 3G</w:t>
      </w:r>
    </w:p>
    <w:p>
      <w:pPr>
        <w:spacing w:after="40"/>
        <w:ind w:left="567"/>
      </w:pPr>
      <w:r>
        <w:rPr>
          <w:sz w:val="20"/>
        </w:rPr>
        <w:t>B.  Catégorie 2G</w:t>
      </w:r>
    </w:p>
    <w:p>
      <w:pPr>
        <w:spacing w:after="40"/>
        <w:ind w:left="567"/>
      </w:pPr>
      <w:r>
        <w:rPr>
          <w:sz w:val="20"/>
        </w:rPr>
        <w:t>C.  Catégorie 1G</w:t>
      </w:r>
    </w:p>
    <w:p>
      <w:pPr>
        <w:spacing w:after="40"/>
        <w:ind w:left="567"/>
      </w:pPr>
      <w:r>
        <w:rPr>
          <w:sz w:val="20"/>
        </w:rPr>
        <w:t>D.  Catégorie 1D (uniquement si poussières)</w:t>
      </w:r>
    </w:p>
    <w:p/>
    <w:p>
      <w:pPr>
        <w:spacing w:before="160" w:after="60"/>
      </w:pPr>
      <w:r>
        <w:rPr>
          <w:b/>
          <w:color w:val="1A4E8C"/>
          <w:sz w:val="21"/>
        </w:rPr>
        <w:t>Question 10 — La première cause d'accidents ATEX en France (données INRS/ARIA) est :</w:t>
      </w:r>
    </w:p>
    <w:p>
      <w:pPr>
        <w:spacing w:after="40"/>
        <w:ind w:left="567"/>
      </w:pPr>
      <w:r>
        <w:rPr>
          <w:sz w:val="20"/>
        </w:rPr>
        <w:t>A.  Défaillance d'équipements électriques</w:t>
      </w:r>
    </w:p>
    <w:p>
      <w:pPr>
        <w:spacing w:after="40"/>
        <w:ind w:left="567"/>
      </w:pPr>
      <w:r>
        <w:rPr>
          <w:sz w:val="20"/>
        </w:rPr>
        <w:t>B.  Travaux par points chauds sans permis de feu ou permis non respecté</w:t>
      </w:r>
    </w:p>
    <w:p>
      <w:pPr>
        <w:spacing w:after="40"/>
        <w:ind w:left="567"/>
      </w:pPr>
      <w:r>
        <w:rPr>
          <w:sz w:val="20"/>
        </w:rPr>
        <w:t>C.  Électricité statique</w:t>
      </w:r>
    </w:p>
    <w:p>
      <w:pPr>
        <w:spacing w:after="40"/>
        <w:ind w:left="567"/>
      </w:pPr>
      <w:r>
        <w:rPr>
          <w:sz w:val="20"/>
        </w:rPr>
        <w:t>D.  Fuites de gaz non détectées</w:t>
      </w:r>
    </w:p>
    <w:p/>
    <w:p>
      <w:pPr>
        <w:spacing w:before="160" w:after="60"/>
      </w:pPr>
      <w:r>
        <w:rPr>
          <w:b/>
          <w:color w:val="1A4E8C"/>
          <w:sz w:val="21"/>
        </w:rPr>
        <w:t>Question 11 — Qu'implique légalement une délégation de pouvoir pour la sécurité ATEX ?</w:t>
      </w:r>
    </w:p>
    <w:p>
      <w:pPr>
        <w:spacing w:after="40"/>
        <w:ind w:left="567"/>
      </w:pPr>
      <w:r>
        <w:rPr>
          <w:sz w:val="20"/>
        </w:rPr>
        <w:t>A.  L'employeur est totalement déchargé de sa responsabilité</w:t>
      </w:r>
    </w:p>
    <w:p>
      <w:pPr>
        <w:spacing w:after="40"/>
        <w:ind w:left="567"/>
      </w:pPr>
      <w:r>
        <w:rPr>
          <w:sz w:val="20"/>
        </w:rPr>
        <w:t>B.  Le délégataire doit avoir autorité, moyens et compétence — l'employeur reste partiellement responsable</w:t>
      </w:r>
    </w:p>
    <w:p>
      <w:pPr>
        <w:spacing w:after="40"/>
        <w:ind w:left="567"/>
      </w:pPr>
      <w:r>
        <w:rPr>
          <w:sz w:val="20"/>
        </w:rPr>
        <w:t>C.  Seule la formation NIV 0 est nécessaire pour le délégataire</w:t>
      </w:r>
    </w:p>
    <w:p>
      <w:pPr>
        <w:spacing w:after="40"/>
        <w:ind w:left="567"/>
      </w:pPr>
      <w:r>
        <w:rPr>
          <w:sz w:val="20"/>
        </w:rPr>
        <w:t>D.  La délégation est valable verbalement</w:t>
      </w:r>
    </w:p>
    <w:p/>
    <w:p>
      <w:pPr>
        <w:spacing w:before="160" w:after="60"/>
      </w:pPr>
      <w:r>
        <w:rPr>
          <w:b/>
          <w:color w:val="1A4E8C"/>
          <w:sz w:val="21"/>
        </w:rPr>
        <w:t>Question 12 — Quelle information de la FDS est essentielle pour sélectionner la classe de température d'un équipement Ex ?</w:t>
      </w:r>
    </w:p>
    <w:p>
      <w:pPr>
        <w:spacing w:after="40"/>
        <w:ind w:left="567"/>
      </w:pPr>
      <w:r>
        <w:rPr>
          <w:sz w:val="20"/>
        </w:rPr>
        <w:t>A.  La masse molaire du produit</w:t>
      </w:r>
    </w:p>
    <w:p>
      <w:pPr>
        <w:spacing w:after="40"/>
        <w:ind w:left="567"/>
      </w:pPr>
      <w:r>
        <w:rPr>
          <w:sz w:val="20"/>
        </w:rPr>
        <w:t>B.  La TAI (Température d'Auto-Inflammation)</w:t>
      </w:r>
    </w:p>
    <w:p>
      <w:pPr>
        <w:spacing w:after="40"/>
        <w:ind w:left="567"/>
      </w:pPr>
      <w:r>
        <w:rPr>
          <w:sz w:val="20"/>
        </w:rPr>
        <w:t>C.  La densité vapeur</w:t>
      </w:r>
    </w:p>
    <w:p>
      <w:pPr>
        <w:spacing w:after="40"/>
        <w:ind w:left="567"/>
      </w:pPr>
      <w:r>
        <w:rPr>
          <w:sz w:val="20"/>
        </w:rPr>
        <w:t>D.  La pression de vapeur saturante</w:t>
      </w:r>
    </w:p>
    <w:p/>
    <w:p>
      <w:pPr>
        <w:spacing w:before="160" w:after="60"/>
      </w:pPr>
      <w:r>
        <w:rPr>
          <w:b/>
          <w:color w:val="1A4E8C"/>
          <w:sz w:val="21"/>
        </w:rPr>
        <w:t>Question 13 — Quel type de détecteur est inadapté à la détection de poussières combustibles ?</w:t>
      </w:r>
    </w:p>
    <w:p>
      <w:pPr>
        <w:spacing w:after="40"/>
        <w:ind w:left="567"/>
      </w:pPr>
      <w:r>
        <w:rPr>
          <w:sz w:val="20"/>
        </w:rPr>
        <w:t>A.  Catalytique</w:t>
      </w:r>
    </w:p>
    <w:p>
      <w:pPr>
        <w:spacing w:after="40"/>
        <w:ind w:left="567"/>
      </w:pPr>
      <w:r>
        <w:rPr>
          <w:sz w:val="20"/>
        </w:rPr>
        <w:t>B.  Infrarouge (open path)</w:t>
      </w:r>
    </w:p>
    <w:p>
      <w:pPr>
        <w:spacing w:after="40"/>
        <w:ind w:left="567"/>
      </w:pPr>
      <w:r>
        <w:rPr>
          <w:sz w:val="20"/>
        </w:rPr>
        <w:t>C.  Électrochimique pour gaz toxiques</w:t>
      </w:r>
    </w:p>
    <w:p>
      <w:pPr>
        <w:spacing w:after="40"/>
        <w:ind w:left="567"/>
      </w:pPr>
      <w:r>
        <w:rPr>
          <w:sz w:val="20"/>
        </w:rPr>
        <w:t>D.  Tous peuvent détecter les poussières</w:t>
      </w:r>
    </w:p>
    <w:p/>
    <w:p>
      <w:pPr>
        <w:spacing w:before="160" w:after="60"/>
      </w:pPr>
      <w:r>
        <w:rPr>
          <w:b/>
          <w:color w:val="1A4E8C"/>
          <w:sz w:val="21"/>
        </w:rPr>
        <w:t>Question 14 — Quel est le recyclage recommandé pour la formation ATEX ?</w:t>
      </w:r>
    </w:p>
    <w:p>
      <w:pPr>
        <w:spacing w:after="40"/>
        <w:ind w:left="567"/>
      </w:pPr>
      <w:r>
        <w:rPr>
          <w:sz w:val="20"/>
        </w:rPr>
        <w:t>A.  Tous les ans</w:t>
      </w:r>
    </w:p>
    <w:p>
      <w:pPr>
        <w:spacing w:after="40"/>
        <w:ind w:left="567"/>
      </w:pPr>
      <w:r>
        <w:rPr>
          <w:sz w:val="20"/>
        </w:rPr>
        <w:t>B.  Tous les 2 ans</w:t>
      </w:r>
    </w:p>
    <w:p>
      <w:pPr>
        <w:spacing w:after="40"/>
        <w:ind w:left="567"/>
      </w:pPr>
      <w:r>
        <w:rPr>
          <w:sz w:val="20"/>
        </w:rPr>
        <w:t>C.  Tous les 3 ans ou après tout incident ATEX</w:t>
      </w:r>
    </w:p>
    <w:p>
      <w:pPr>
        <w:spacing w:after="40"/>
        <w:ind w:left="567"/>
      </w:pPr>
      <w:r>
        <w:rPr>
          <w:sz w:val="20"/>
        </w:rPr>
        <w:t>D.  Pas de recyclage prévu</w:t>
      </w:r>
    </w:p>
    <w:p/>
    <w:p>
      <w:pPr>
        <w:spacing w:before="160" w:after="60"/>
      </w:pPr>
      <w:r>
        <w:rPr>
          <w:b/>
          <w:color w:val="1A4E8C"/>
          <w:sz w:val="21"/>
        </w:rPr>
        <w:t>Question 15 — Un sous-traitant NIV 1 peut-il intervenir en zone 0 sans supervision d'un NIV 2 ?</w:t>
      </w:r>
    </w:p>
    <w:p>
      <w:pPr>
        <w:spacing w:after="40"/>
        <w:ind w:left="567"/>
      </w:pPr>
      <w:r>
        <w:rPr>
          <w:sz w:val="20"/>
        </w:rPr>
        <w:t>A.  Oui si son AT est valide</w:t>
      </w:r>
    </w:p>
    <w:p>
      <w:pPr>
        <w:spacing w:after="40"/>
        <w:ind w:left="567"/>
      </w:pPr>
      <w:r>
        <w:rPr>
          <w:sz w:val="20"/>
        </w:rPr>
        <w:t>B.  Oui avec un permis de feu</w:t>
      </w:r>
    </w:p>
    <w:p>
      <w:pPr>
        <w:spacing w:after="40"/>
        <w:ind w:left="567"/>
      </w:pPr>
      <w:r>
        <w:rPr>
          <w:sz w:val="20"/>
        </w:rPr>
        <w:t>C.  Non — la zone 0 requiert une supervision renforcée et des équipements cat. 1G</w:t>
      </w:r>
    </w:p>
    <w:p>
      <w:pPr>
        <w:spacing w:after="40"/>
        <w:ind w:left="567"/>
      </w:pPr>
      <w:r>
        <w:rPr>
          <w:sz w:val="20"/>
        </w:rPr>
        <w:t>D.  Oui si son explosimètre est certifié</w:t>
      </w:r>
    </w:p>
    <w:p/>
    <w:p>
      <w:pPr>
        <w:pBdr>
          <w:bottom w:val="single" w:sz="4" w:color="CCCCCC"/>
        </w:pBdr>
        <w:spacing w:before="100"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a4e8c"/>
          </w:tcPr>
          <w:p>
            <w:r>
              <w:rPr>
                <w:b/>
                <w:color w:val="FFFFFF"/>
                <w:sz w:val="22"/>
              </w:rPr>
              <w:t>Score</w:t>
            </w:r>
          </w:p>
        </w:tc>
        <w:tc>
          <w:tcPr>
            <w:tcW w:type="dxa" w:w="4819"/>
          </w:tcPr>
          <w:p>
            <w:r>
              <w:rPr>
                <w:sz w:val="22"/>
              </w:rPr>
              <w:t>__ / 15</w:t>
            </w:r>
          </w:p>
        </w:tc>
      </w:tr>
      <w:tr>
        <w:tc>
          <w:tcPr>
            <w:tcW w:type="dxa" w:w="4819"/>
            <w:shd w:val="clear" w:color="auto" w:fill="1a4e8c"/>
          </w:tcPr>
          <w:p>
            <w:r>
              <w:rPr>
                <w:b/>
                <w:color w:val="FFFFFF"/>
                <w:sz w:val="22"/>
              </w:rPr>
              <w:t>Pourcentage</w:t>
            </w:r>
          </w:p>
        </w:tc>
        <w:tc>
          <w:tcPr>
            <w:tcW w:type="dxa" w:w="4819"/>
          </w:tcPr>
          <w:p>
            <w:r>
              <w:rPr>
                <w:sz w:val="22"/>
              </w:rPr>
              <w:t>__ %</w:t>
            </w:r>
          </w:p>
        </w:tc>
      </w:tr>
      <w:tr>
        <w:tc>
          <w:tcPr>
            <w:tcW w:type="dxa" w:w="4819"/>
            <w:shd w:val="clear" w:color="auto" w:fill="1a4e8c"/>
          </w:tcPr>
          <w:p>
            <w:r>
              <w:rPr>
                <w:b/>
                <w:color w:val="FFFFFF"/>
                <w:sz w:val="22"/>
              </w:rPr>
              <w:t>Résultat</w:t>
            </w:r>
          </w:p>
        </w:tc>
        <w:tc>
          <w:tcPr>
            <w:tcW w:type="dxa" w:w="4819"/>
          </w:tcPr>
          <w:p>
            <w:r>
              <w:rPr>
                <w:sz w:val="22"/>
              </w:rPr>
              <w:t>Réussi ≥ 12/15  |  À améliorer &lt; 12/15</w:t>
            </w:r>
          </w:p>
        </w:tc>
      </w:tr>
    </w:tbl>
    <w:p>
      <w:pPr>
        <w:pBdr>
          <w:bottom w:val="single" w:sz="4" w:color="CCCCCC"/>
        </w:pBdr>
        <w:spacing w:before="100" w:after="100"/>
      </w:pPr>
    </w:p>
    <w:p>
      <w:pPr>
        <w:jc w:val="center"/>
      </w:pPr>
      <w:r>
        <w:rPr>
          <w:i/>
          <w:color w:val="888888"/>
          <w:sz w:val="16"/>
        </w:rPr>
        <w:t>Prévensia Groupe — Livret Stagiaire ATEX NIV 2 — Document confidentiel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