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Resources for Spreadsheet:</w:t>
      </w:r>
    </w:p>
    <w:p w:rsidR="00000000" w:rsidDel="00000000" w:rsidP="00000000" w:rsidRDefault="00000000" w:rsidRPr="00000000" w14:paraId="00000004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Google sheets training and help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https://support.google.com/a/users/answer/9282959?visit_id=637361702049227170-1815413770&amp;rd=1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Google Sheets cheat sheet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https://support.google.com/a/users/answer/9300022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MS Excel for Windows training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https://support.microsoft.com/en-us/office/excel-for-windows-training-9bc05390-e94c-46af-a5b3-d7c22f6990bb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Resources for SQL:</w:t>
      </w:r>
    </w:p>
    <w:p w:rsidR="00000000" w:rsidDel="00000000" w:rsidP="00000000" w:rsidRDefault="00000000" w:rsidRPr="00000000" w14:paraId="0000000A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W3Schools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: (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SQL cheat sheet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: (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https://towardsdatascience.com/sql-cheat-sheet-776f8e3189fa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Tableau Resources:</w:t>
      </w:r>
    </w:p>
    <w:p w:rsidR="00000000" w:rsidDel="00000000" w:rsidP="00000000" w:rsidRDefault="00000000" w:rsidRPr="00000000" w14:paraId="0000000E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How-to-video 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https://public.tableau.com/en-us/s/resources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Viz-of-the-Day 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https://public.tableau.com/en-us/gallery/?tab=viz-of-the-day&amp;type=viz-of-the-day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Resources RStudio:</w:t>
      </w:r>
    </w:p>
    <w:p w:rsidR="00000000" w:rsidDel="00000000" w:rsidP="00000000" w:rsidRDefault="00000000" w:rsidRPr="00000000" w14:paraId="00000012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Cheat Sheet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: (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https://posit.co/wp-content/uploads/2022/10/rstudio-ide-1.pdf</w:t>
        </w:r>
      </w:hyperlink>
      <w:r w:rsidDel="00000000" w:rsidR="00000000" w:rsidRPr="00000000">
        <w:rPr>
          <w:color w:val="18181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blic.tableau.com/en-us/s/resources" TargetMode="External"/><Relationship Id="rId10" Type="http://schemas.openxmlformats.org/officeDocument/2006/relationships/hyperlink" Target="https://towardsdatascience.com/sql-cheat-sheet-776f8e3189fa" TargetMode="External"/><Relationship Id="rId13" Type="http://schemas.openxmlformats.org/officeDocument/2006/relationships/hyperlink" Target="https://posit.co/wp-content/uploads/2022/10/rstudio-ide-1.pdf" TargetMode="External"/><Relationship Id="rId12" Type="http://schemas.openxmlformats.org/officeDocument/2006/relationships/hyperlink" Target="https://public.tableau.com/en-us/gallery/?tab=viz-of-the-day&amp;type=viz-of-the-d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google.com/a/users/answer/9282959?visit_id=637361702049227170-1815413770&amp;rd=1" TargetMode="External"/><Relationship Id="rId7" Type="http://schemas.openxmlformats.org/officeDocument/2006/relationships/hyperlink" Target="https://support.google.com/a/users/answer/9300022" TargetMode="External"/><Relationship Id="rId8" Type="http://schemas.openxmlformats.org/officeDocument/2006/relationships/hyperlink" Target="https://support.microsoft.com/en-us/office/excel-for-windows-training-9bc05390-e94c-46af-a5b3-d7c22f6990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