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Google Data Analytics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Data Analysis with R Programming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Vectors: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Store data of similar types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Lists: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Store data of different types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Dataframe: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﻿﻿Columns should be named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﻿﻿Data stored can be many different types, like numeric, factor, or character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﻿﻿Each column should contain the same number of data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Tibbles: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Streamlined dataframes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﻿﻿Never change the data types of the inputs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﻿﻿Never change the names of your variables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﻿﻿Never create row names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printing easier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Tidy data (R)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way of standardising the organisation of data within 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Tidy data standards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﻿﻿Variables are organised into columns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﻿﻿Observations are organised into rows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﻿﻿Each value must have its own cell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File Naming: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Rule="auto"/>
        <w:rPr>
          <w:color w:val="1f1f1f"/>
          <w:sz w:val="22"/>
          <w:szCs w:val="22"/>
        </w:rPr>
      </w:pPr>
      <w:bookmarkStart w:colFirst="0" w:colLast="0" w:name="_m85054t352p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Rule="auto"/>
        <w:rPr>
          <w:b w:val="1"/>
          <w:color w:val="1f1f1f"/>
          <w:sz w:val="22"/>
          <w:szCs w:val="22"/>
        </w:rPr>
      </w:pPr>
      <w:bookmarkStart w:colFirst="0" w:colLast="0" w:name="_kxh7xay4pjx5" w:id="1"/>
      <w:bookmarkEnd w:id="1"/>
      <w:r w:rsidDel="00000000" w:rsidR="00000000" w:rsidRPr="00000000">
        <w:rPr>
          <w:b w:val="1"/>
          <w:color w:val="1f1f1f"/>
          <w:sz w:val="22"/>
          <w:szCs w:val="22"/>
          <w:rtl w:val="0"/>
        </w:rPr>
        <w:t xml:space="preserve">Do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Keep your filenames to a reasonable length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Use underscores and hyphens for readability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Start or end your filename with a letter or number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Use a standard date format when applicable; example: YYYY-MM-DD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8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Use filenames for related files that work well with default ordering; example: in chronological order, or logical order using numbers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480" w:lineRule="auto"/>
        <w:rPr>
          <w:b w:val="1"/>
          <w:color w:val="1f1f1f"/>
          <w:sz w:val="22"/>
          <w:szCs w:val="22"/>
        </w:rPr>
      </w:pPr>
      <w:bookmarkStart w:colFirst="0" w:colLast="0" w:name="_atez8sk5jo69" w:id="2"/>
      <w:bookmarkEnd w:id="2"/>
      <w:r w:rsidDel="00000000" w:rsidR="00000000" w:rsidRPr="00000000">
        <w:rPr>
          <w:b w:val="1"/>
          <w:color w:val="1f1f1f"/>
          <w:sz w:val="22"/>
          <w:szCs w:val="22"/>
          <w:rtl w:val="0"/>
        </w:rPr>
        <w:t xml:space="preserve">Don't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Use unnecessary additional characters in filenames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Use spaces or “illegal” characters; examples: &amp;, %, #, &lt;, or &gt;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Start or end your filename with a symbol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Use incomplete or inconsistent date formats; example: M-D-YY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80" w:lineRule="auto"/>
        <w:ind w:left="720" w:hanging="360"/>
        <w:rPr/>
      </w:pPr>
      <w:r w:rsidDel="00000000" w:rsidR="00000000" w:rsidRPr="00000000">
        <w:rPr>
          <w:color w:val="1f1f1f"/>
          <w:rtl w:val="0"/>
        </w:rPr>
        <w:t xml:space="preserve">Use filenames for related files that do not work well with default ordering; examples: a random system of numbers or date formats, or using letters first</w:t>
      </w:r>
    </w:p>
    <w:p w:rsidR="00000000" w:rsidDel="00000000" w:rsidP="00000000" w:rsidRDefault="00000000" w:rsidRPr="00000000" w14:paraId="0000002C">
      <w:pPr>
        <w:spacing w:after="28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lineRule="auto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Operators:</w:t>
      </w:r>
    </w:p>
    <w:p w:rsidR="00000000" w:rsidDel="00000000" w:rsidP="00000000" w:rsidRDefault="00000000" w:rsidRPr="00000000" w14:paraId="0000002E">
      <w:pPr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operators</w:t>
      </w:r>
    </w:p>
    <w:tbl>
      <w:tblPr>
        <w:tblStyle w:val="Table1"/>
        <w:tblW w:w="7435.466004011858" w:type="dxa"/>
        <w:jc w:val="left"/>
        <w:tblLayout w:type="fixed"/>
        <w:tblLook w:val="0600"/>
      </w:tblPr>
      <w:tblGrid>
        <w:gridCol w:w="1155.3570252387656"/>
        <w:gridCol w:w="4690.063171761325"/>
        <w:gridCol w:w="1590.045807011766"/>
        <w:tblGridChange w:id="0">
          <w:tblGrid>
            <w:gridCol w:w="1155.3570252387656"/>
            <w:gridCol w:w="4690.063171761325"/>
            <w:gridCol w:w="1590.045807011766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Operator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+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Addition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 + 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-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Subtraction 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 - 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*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Multiplication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 * 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/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Division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 / 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%%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Modulus (returns the remainder after division)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y %% x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%/%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Integer division (returns an integer value after division) 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y%/% x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^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Exponent 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y ^ x</w:t>
            </w:r>
          </w:p>
        </w:tc>
      </w:tr>
    </w:tbl>
    <w:p w:rsidR="00000000" w:rsidDel="00000000" w:rsidP="00000000" w:rsidRDefault="00000000" w:rsidRPr="00000000" w14:paraId="00000047">
      <w:pPr>
        <w:spacing w:after="280" w:lineRule="auto"/>
        <w:rPr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Relational operators</w:t>
      </w:r>
    </w:p>
    <w:tbl>
      <w:tblPr>
        <w:tblStyle w:val="Table2"/>
        <w:tblW w:w="6897.824616029461" w:type="dxa"/>
        <w:jc w:val="left"/>
        <w:tblLayout w:type="fixed"/>
        <w:tblLook w:val="0600"/>
      </w:tblPr>
      <w:tblGrid>
        <w:gridCol w:w="1601.484985479477"/>
        <w:gridCol w:w="3100.0173647495585"/>
        <w:gridCol w:w="2196.322265800425"/>
        <w:tblGridChange w:id="0">
          <w:tblGrid>
            <w:gridCol w:w="1601.484985479477"/>
            <w:gridCol w:w="3100.0173647495585"/>
            <w:gridCol w:w="2196.3222658004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Operator 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&lt;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Less than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 &lt; 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&gt;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Greater than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 &gt; 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&lt;=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Less than or equal to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 &lt; = 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&gt;=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Greater than or equal to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y &gt;= 10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==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Equal to 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y == 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!=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Not equal to 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 != 2</w:t>
            </w:r>
          </w:p>
        </w:tc>
      </w:tr>
    </w:tbl>
    <w:p w:rsidR="00000000" w:rsidDel="00000000" w:rsidP="00000000" w:rsidRDefault="00000000" w:rsidRPr="00000000" w14:paraId="00000062">
      <w:pPr>
        <w:spacing w:after="28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Logical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2939.868866201611"/>
        <w:gridCol w:w="6085.642944822012"/>
        <w:tblGridChange w:id="0">
          <w:tblGrid>
            <w:gridCol w:w="2939.868866201611"/>
            <w:gridCol w:w="6085.642944822012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Operator 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&amp;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Element-wise logical AND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&amp;&amp;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Logical AND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|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Element-wise logical 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||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Logical OR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!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Logical NOT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f1f1f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color w:val="1f1f1f"/>
          <w:rtl w:val="0"/>
        </w:rPr>
        <w:t xml:space="preserve">The main difference between </w:t>
      </w:r>
      <w:r w:rsidDel="00000000" w:rsidR="00000000" w:rsidRPr="00000000">
        <w:rPr>
          <w:b w:val="1"/>
          <w:color w:val="1f1f1f"/>
          <w:rtl w:val="0"/>
        </w:rPr>
        <w:t xml:space="preserve">element-wise logical operators</w:t>
      </w:r>
      <w:r w:rsidDel="00000000" w:rsidR="00000000" w:rsidRPr="00000000">
        <w:rPr>
          <w:color w:val="1f1f1f"/>
          <w:rtl w:val="0"/>
        </w:rPr>
        <w:t xml:space="preserve"> (&amp;, |) and </w:t>
      </w:r>
      <w:r w:rsidDel="00000000" w:rsidR="00000000" w:rsidRPr="00000000">
        <w:rPr>
          <w:b w:val="1"/>
          <w:color w:val="1f1f1f"/>
          <w:rtl w:val="0"/>
        </w:rPr>
        <w:t xml:space="preserve">logical operators</w:t>
      </w:r>
      <w:r w:rsidDel="00000000" w:rsidR="00000000" w:rsidRPr="00000000">
        <w:rPr>
          <w:color w:val="1f1f1f"/>
          <w:rtl w:val="0"/>
        </w:rPr>
        <w:t xml:space="preserve"> (&amp;&amp;, ||) is the way they apply to operations with vectors. The operations with double signs, AND (&amp;&amp;) and logical OR (||), only examine the </w:t>
      </w:r>
      <w:r w:rsidDel="00000000" w:rsidR="00000000" w:rsidRPr="00000000">
        <w:rPr>
          <w:i w:val="1"/>
          <w:color w:val="1f1f1f"/>
          <w:rtl w:val="0"/>
        </w:rPr>
        <w:t xml:space="preserve">first </w:t>
      </w:r>
      <w:r w:rsidDel="00000000" w:rsidR="00000000" w:rsidRPr="00000000">
        <w:rPr>
          <w:color w:val="1f1f1f"/>
          <w:rtl w:val="0"/>
        </w:rPr>
        <w:t xml:space="preserve">element of each vector. The operations with single signs, AND (&amp;) and OR (|), examine all the elements of each vector</w:t>
      </w:r>
    </w:p>
    <w:p w:rsidR="00000000" w:rsidDel="00000000" w:rsidP="00000000" w:rsidRDefault="00000000" w:rsidRPr="00000000" w14:paraId="00000074">
      <w:pPr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Assignment operators</w:t>
      </w:r>
    </w:p>
    <w:p w:rsidR="00000000" w:rsidDel="00000000" w:rsidP="00000000" w:rsidRDefault="00000000" w:rsidRPr="00000000" w14:paraId="00000076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20.13834346656" w:type="dxa"/>
        <w:jc w:val="left"/>
        <w:tblLayout w:type="fixed"/>
        <w:tblLook w:val="0600"/>
      </w:tblPr>
      <w:tblGrid>
        <w:gridCol w:w="1199.5933419714943"/>
        <w:gridCol w:w="1428.0873118708264"/>
        <w:gridCol w:w="5392.45768962424"/>
        <w:tblGridChange w:id="0">
          <w:tblGrid>
            <w:gridCol w:w="1199.5933419714943"/>
            <w:gridCol w:w="1428.0873118708264"/>
            <w:gridCol w:w="5392.45768962424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Operator 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Example Code (after the sample code below, typing x will generate the output in the next column)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&lt;-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Leftwards assignment 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 &lt;- 2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&lt;&lt;-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Leftwards assignment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 &lt;&lt;- 7 </w:t>
            </w:r>
          </w:p>
          <w:p w:rsidR="00000000" w:rsidDel="00000000" w:rsidP="00000000" w:rsidRDefault="00000000" w:rsidRPr="00000000" w14:paraId="00000080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=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Leftwards assignment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x = 9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-&gt;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Rightwards assignment 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11 -&gt; x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-&gt;&gt;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Rightwards assignment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21 -&gt;&gt; x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Data visualisation in R: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Packages for visualisation: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ggplot2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﻿﻿Plotly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﻿﻿Lattice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﻿﻿RGL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﻿﻿Dygraphs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﻿﻿Leaflet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﻿﻿Highcharter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﻿﻿Patchwork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﻿﻿gganimate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﻿﻿ggridges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ggplot2: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 visual property of an object in your plot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Geom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geometric object used to represent your data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Facets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Let you display smaller groups, or subsets, of your data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Labels and annotations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Let you customise your plot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Smoothing: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color w:val="1f1f1f"/>
          <w:rtl w:val="0"/>
        </w:rPr>
        <w:t xml:space="preserve">Smoothing enables the detection of a data trend even when you can't easily notice a trend from the plotted data points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Layout w:type="fixed"/>
        <w:tblLook w:val="0600"/>
      </w:tblPr>
      <w:tblGrid>
        <w:gridCol w:w="1800"/>
        <w:gridCol w:w="4065"/>
        <w:gridCol w:w="3435"/>
        <w:tblGridChange w:id="0">
          <w:tblGrid>
            <w:gridCol w:w="1800"/>
            <w:gridCol w:w="4065"/>
            <w:gridCol w:w="343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Type of smoothing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Loess smoothing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The loess smoothing process is best for smoothing </w:t>
            </w:r>
          </w:p>
          <w:p w:rsidR="00000000" w:rsidDel="00000000" w:rsidP="00000000" w:rsidRDefault="00000000" w:rsidRPr="00000000" w14:paraId="000000AE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plots with less than 1000 points.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ggplot(data, aes(x=, y=))+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  geom_point() +   </w:t>
              <w:tab/>
            </w:r>
          </w:p>
          <w:p w:rsidR="00000000" w:rsidDel="00000000" w:rsidP="00000000" w:rsidRDefault="00000000" w:rsidRPr="00000000" w14:paraId="000000B1">
            <w:pPr>
              <w:spacing w:after="360" w:lineRule="auto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  geom_smooth(method="loess")</w:t>
            </w:r>
          </w:p>
        </w:tc>
      </w:tr>
      <w:tr>
        <w:trPr>
          <w:cantSplit w:val="0"/>
          <w:trHeight w:val="2048.82812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Gam smoothing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Gam smoothing, or generalised additive model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smoothing, is useful for smoothing plots with a large</w:t>
            </w:r>
          </w:p>
          <w:p w:rsidR="00000000" w:rsidDel="00000000" w:rsidP="00000000" w:rsidRDefault="00000000" w:rsidRPr="00000000" w14:paraId="000000B5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number of points. 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ggplot(data, aes(x=, y=)) +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  geom_point() +      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  geom_smooth(method="gam", </w:t>
            </w:r>
          </w:p>
          <w:p w:rsidR="00000000" w:rsidDel="00000000" w:rsidP="00000000" w:rsidRDefault="00000000" w:rsidRPr="00000000" w14:paraId="000000B9">
            <w:pPr>
              <w:spacing w:after="360" w:lineRule="auto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formula = y ~s(x))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Saving plots without ggsave() function: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Layout w:type="fixed"/>
        <w:tblLook w:val="0600"/>
      </w:tblPr>
      <w:tblGrid>
        <w:gridCol w:w="4324.0094607945875"/>
        <w:gridCol w:w="4701.502350229036"/>
        <w:tblGridChange w:id="0">
          <w:tblGrid>
            <w:gridCol w:w="4324.0094607945875"/>
            <w:gridCol w:w="4701.502350229036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Example of using png()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Example of using pdf()</w:t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png(file = "exampleplot.png", bg = "transparent")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plot(1:10)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rect(1, 5, 3, 7, col = "white")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dev.off()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pdf(file = "/Users/username/Desktop/example.pdf",   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       width = 4,   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       height = 4)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plot(x = 1:10,    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        y = 1:10)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abline(v = 0)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text(x = 0, y = 1, labels = "Random text")</w:t>
            </w:r>
          </w:p>
          <w:p w:rsidR="00000000" w:rsidDel="00000000" w:rsidP="00000000" w:rsidRDefault="00000000" w:rsidRPr="00000000" w14:paraId="000000CE">
            <w:pPr>
              <w:spacing w:after="360" w:lineRule="auto"/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f1f1f"/>
                <w:sz w:val="20"/>
                <w:szCs w:val="20"/>
                <w:shd w:fill="e5e7e8" w:val="clear"/>
                <w:rtl w:val="0"/>
              </w:rPr>
              <w:t xml:space="preserve">dev.off()</w:t>
            </w:r>
          </w:p>
        </w:tc>
      </w:tr>
    </w:tbl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Document and Reports in R: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 Markdown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file format for making dynamic documents with R</w:t>
      </w:r>
    </w:p>
    <w:p w:rsidR="00000000" w:rsidDel="00000000" w:rsidP="00000000" w:rsidRDefault="00000000" w:rsidRPr="00000000" w14:paraId="000000D4">
      <w:pPr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Markdown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 syntax for formatting plain text files</w:t>
      </w:r>
    </w:p>
    <w:p w:rsidR="00000000" w:rsidDel="00000000" w:rsidP="00000000" w:rsidRDefault="00000000" w:rsidRPr="00000000" w14:paraId="000000D7">
      <w:pPr>
        <w:jc w:val="left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 Notebook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Lets users run your code and show the graphs and charts that visualise the code</w:t>
      </w:r>
    </w:p>
    <w:p w:rsidR="00000000" w:rsidDel="00000000" w:rsidP="00000000" w:rsidRDefault="00000000" w:rsidRPr="00000000" w14:paraId="000000DA">
      <w:pPr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Some popular packages with templates for R Markdown include the following: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The</w:t>
      </w:r>
      <w:hyperlink r:id="rId6">
        <w:r w:rsidDel="00000000" w:rsidR="00000000" w:rsidRPr="00000000">
          <w:rPr>
            <w:b w:val="1"/>
            <w:color w:val="1f1f1f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0056d2"/>
            <w:u w:val="single"/>
            <w:rtl w:val="0"/>
          </w:rPr>
          <w:t xml:space="preserve">vitae</w:t>
        </w:r>
      </w:hyperlink>
      <w:r w:rsidDel="00000000" w:rsidR="00000000" w:rsidRPr="00000000">
        <w:rPr>
          <w:b w:val="1"/>
          <w:color w:val="1f1f1f"/>
          <w:rtl w:val="0"/>
        </w:rPr>
        <w:t xml:space="preserve"> package contains templates for creating and maintaining a résumé or curriculum vitae (CV)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The</w:t>
      </w:r>
      <w:hyperlink r:id="rId8">
        <w:r w:rsidDel="00000000" w:rsidR="00000000" w:rsidRPr="00000000">
          <w:rPr>
            <w:b w:val="1"/>
            <w:color w:val="1f1f1f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0056d2"/>
            <w:u w:val="single"/>
            <w:rtl w:val="0"/>
          </w:rPr>
          <w:t xml:space="preserve">rticles</w:t>
        </w:r>
      </w:hyperlink>
      <w:r w:rsidDel="00000000" w:rsidR="00000000" w:rsidRPr="00000000">
        <w:rPr>
          <w:b w:val="1"/>
          <w:color w:val="1f1f1f"/>
          <w:rtl w:val="0"/>
        </w:rPr>
        <w:t xml:space="preserve"> package provides templates for various journals and publishers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The</w:t>
      </w:r>
      <w:hyperlink r:id="rId10">
        <w:r w:rsidDel="00000000" w:rsidR="00000000" w:rsidRPr="00000000">
          <w:rPr>
            <w:b w:val="1"/>
            <w:color w:val="1f1f1f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0056d2"/>
            <w:u w:val="single"/>
            <w:rtl w:val="0"/>
          </w:rPr>
          <w:t xml:space="preserve">learnr</w:t>
        </w:r>
      </w:hyperlink>
      <w:r w:rsidDel="00000000" w:rsidR="00000000" w:rsidRPr="00000000">
        <w:rPr>
          <w:b w:val="1"/>
          <w:color w:val="1f1f1f"/>
          <w:rtl w:val="0"/>
        </w:rPr>
        <w:t xml:space="preserve"> package makes it easy to turn any R Markdown document into an interactive tutorial 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The</w:t>
      </w:r>
      <w:hyperlink r:id="rId12">
        <w:r w:rsidDel="00000000" w:rsidR="00000000" w:rsidRPr="00000000">
          <w:rPr>
            <w:b w:val="1"/>
            <w:color w:val="1f1f1f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0056d2"/>
            <w:u w:val="single"/>
            <w:rtl w:val="0"/>
          </w:rPr>
          <w:t xml:space="preserve">bookdown</w:t>
        </w:r>
      </w:hyperlink>
      <w:r w:rsidDel="00000000" w:rsidR="00000000" w:rsidRPr="00000000">
        <w:rPr>
          <w:b w:val="1"/>
          <w:color w:val="1f1f1f"/>
          <w:rtl w:val="0"/>
        </w:rPr>
        <w:t xml:space="preserve"> package facilitates writing books and long-form articles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28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1f1f1f"/>
          <w:rtl w:val="0"/>
        </w:rPr>
        <w:t xml:space="preserve">The</w:t>
      </w:r>
      <w:hyperlink r:id="rId14">
        <w:r w:rsidDel="00000000" w:rsidR="00000000" w:rsidRPr="00000000">
          <w:rPr>
            <w:b w:val="1"/>
            <w:color w:val="1f1f1f"/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1"/>
            <w:color w:val="0056d2"/>
            <w:u w:val="single"/>
            <w:rtl w:val="0"/>
          </w:rPr>
          <w:t xml:space="preserve">flexdashboard</w:t>
        </w:r>
      </w:hyperlink>
      <w:r w:rsidDel="00000000" w:rsidR="00000000" w:rsidRPr="00000000">
        <w:rPr>
          <w:b w:val="1"/>
          <w:color w:val="1f1f1f"/>
          <w:rtl w:val="0"/>
        </w:rPr>
        <w:t xml:space="preserve"> package lets you publish a group of related data visualisations as a dashboard</w:t>
      </w:r>
    </w:p>
    <w:p w:rsidR="00000000" w:rsidDel="00000000" w:rsidP="00000000" w:rsidRDefault="00000000" w:rsidRPr="00000000" w14:paraId="000000E2">
      <w:pPr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studio/learnr" TargetMode="External"/><Relationship Id="rId10" Type="http://schemas.openxmlformats.org/officeDocument/2006/relationships/hyperlink" Target="https://github.com/rstudio/learnr" TargetMode="External"/><Relationship Id="rId13" Type="http://schemas.openxmlformats.org/officeDocument/2006/relationships/hyperlink" Target="https://github.com/rstudio/bookdown" TargetMode="External"/><Relationship Id="rId12" Type="http://schemas.openxmlformats.org/officeDocument/2006/relationships/hyperlink" Target="https://github.com/rstudio/bookdo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studio/rticles" TargetMode="External"/><Relationship Id="rId15" Type="http://schemas.openxmlformats.org/officeDocument/2006/relationships/hyperlink" Target="https://github.com/rstudio/flexdashboard" TargetMode="External"/><Relationship Id="rId14" Type="http://schemas.openxmlformats.org/officeDocument/2006/relationships/hyperlink" Target="https://github.com/rstudio/flexdashboar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itchelloharawild/vitae" TargetMode="External"/><Relationship Id="rId7" Type="http://schemas.openxmlformats.org/officeDocument/2006/relationships/hyperlink" Target="https://github.com/mitchelloharawild/vitae" TargetMode="External"/><Relationship Id="rId8" Type="http://schemas.openxmlformats.org/officeDocument/2006/relationships/hyperlink" Target="https://github.com/rstudio/r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