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Blockchain Technology in Finance</w:t>
      </w:r>
    </w:p>
    <w:p>
      <w:r>
        <w:t>Blockchain technology is revolutionizing the financial sector. Decentralized ledgers enable transparent and immutable transaction records. Smart contracts automate complex financial agreements without intermediaries. Cryptocurrency exchanges are providing alternative investment opportunities. Central banks around the world are exploring Central Bank Digital Currencies (CBDCs). The technology reduces fraud, lowers transaction costs, and increases the speed of cross-border payments. However, regulatory challenges and energy consumption concerns remain significant hurdles for widespread adoption.</w:t>
      </w:r>
    </w:p>
    <w:p>
      <w:pPr>
        <w:pStyle w:val="Heading2"/>
      </w:pPr>
      <w:r>
        <w:t>Key Applications</w:t>
      </w:r>
    </w:p>
    <w:p>
      <w:r>
        <w:t>1. Decentralized finance (DeFi)</w:t>
      </w:r>
    </w:p>
    <w:p>
      <w:r>
        <w:t>2. Cross-border payments</w:t>
      </w:r>
    </w:p>
    <w:p>
      <w:r>
        <w:t>3. Supply chain tracking</w:t>
      </w:r>
    </w:p>
    <w:p>
      <w:r>
        <w:t>4. Digital identity verification</w:t>
      </w:r>
    </w:p>
    <w:p>
      <w:r>
        <w:t>5. Tokenization of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