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EF5"/>
          <w:spacing w:val="20"/>
          <w:sz w:val="20"/>
          <w:szCs w:val="20"/>
        </w:rPr>
        <w:t xml:space="preserve">RACOAI FRONTEND CHALLENGE</w:t>
      </w:r>
    </w:p>
    <w:p>
      <w:pPr>
        <w:spacing w:after="100"/>
      </w:pPr>
      <w:r>
        <w:rPr>
          <w:b/>
          <w:bCs/>
          <w:color w:val="1A1C22"/>
          <w:sz w:val="44"/>
          <w:szCs w:val="44"/>
        </w:rPr>
        <w:t xml:space="preserve">Xai — Intelligence Workspace</w:t>
      </w:r>
    </w:p>
    <w:p>
      <w:pPr>
        <w:spacing w:after="400"/>
      </w:pPr>
      <w:r>
        <w:rPr>
          <w:i/>
          <w:iCs/>
          <w:color w:val="5B5F6A"/>
          <w:sz w:val="22"/>
          <w:szCs w:val="22"/>
        </w:rPr>
        <w:t xml:space="preserve">Product documentation — from concept to interface</w:t>
      </w:r>
    </w:p>
    <w:p>
      <w:pPr>
        <w:pStyle w:val="Heading1"/>
        <w:spacing w:after="160" w:before="320"/>
      </w:pPr>
      <w:r>
        <w:t xml:space="preserve">1. Product concept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Xai — Intelligence Workspace is positioned as a calm, technically confident AI product for decision-makers, not a marketing surface. The core narrative — "from raw data, to structured intelligence, to actionable insight, to AI automations" — is treated as the literal spine of the page: every section corresponds to one stage of that transformation, and the motion in each section performs the transformation rather than just decorating it.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The product promise is that Xai finds the structure that is already latent in a company's data, and keeps a human in control of what happens with it. That promise directly shaped two decisions: the hero shows disorder resolving into order (never the reverse), and the one interaction the visitor fully controls — the signature clustering moment — is the same idea, but with the visitor's hand on the wheel.</w:t>
      </w:r>
    </w:p>
    <w:p>
      <w:pPr>
        <w:pStyle w:val="Heading1"/>
        <w:spacing w:after="160" w:before="320"/>
      </w:pPr>
      <w:r>
        <w:t xml:space="preserve">2. From high-level brief to concrete interface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The brief's four required sections were mapped one-to-one onto four page sections, each carrying one verb from the core narrative: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50"/>
        <w:gridCol w:w="2500"/>
      </w:tblGrid>
      <w:tr>
        <w:tc>
          <w:tcPr>
            <w:tcW w:type="dxa" w:w="2200"/>
            <w:shd w:fill="0A0B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50"/>
            <w:shd w:fill="0A0B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00"/>
            <w:shd w:fill="0A0B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technique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Hero</w:t>
            </w:r>
          </w:p>
        </w:tc>
        <w:tc>
          <w:tcPr>
            <w:tcW w:type="dxa" w:w="4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Headline + subtext over a full-bleed 3D particle field that morphs from a chaotic cloud into an ordered grid as the visitor scrolls, and tilts gently toward the cursor.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React Three Fiber points field, scroll- and pointer-reactive</w:t>
            </w:r>
          </w:p>
        </w:tc>
      </w:tr>
      <w:tr>
        <w:tc>
          <w:tcPr>
            <w:tcW w:type="dxa" w:w="2200"/>
            <w:shd w:fill="F4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Interactive Insight Flow</w:t>
            </w:r>
          </w:p>
        </w:tc>
        <w:tc>
          <w:tcPr>
            <w:tcW w:type="dxa" w:w="4650"/>
            <w:shd w:fill="F4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A pinned, horizontally scrubbed sequence of three stages — Ingest, Analyze, Generate — where an SVG line draws itself and copy fades in, in lockstep with scroll.</w:t>
            </w:r>
          </w:p>
        </w:tc>
        <w:tc>
          <w:tcPr>
            <w:tcW w:type="dxa" w:w="2500"/>
            <w:shd w:fill="F4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GSAP ScrollTrigger, pinned container animation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Intelligence Dashboard Preview</w:t>
            </w:r>
          </w:p>
        </w:tc>
        <w:tc>
          <w:tcPr>
            <w:tcW w:type="dxa" w:w="4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A mock product screen: sidebar navigation, KPI cards, a line chart and a bar chart, a data-source table, and three switchable tabs with a sliding active-state pill.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Framer Motion whileInView stagger + layoutId tab pill</w:t>
            </w:r>
          </w:p>
        </w:tc>
      </w:tr>
      <w:tr>
        <w:tc>
          <w:tcPr>
            <w:tcW w:type="dxa" w:w="2200"/>
            <w:shd w:fill="F4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Signature Interaction</w:t>
            </w:r>
          </w:p>
        </w:tc>
        <w:tc>
          <w:tcPr>
            <w:tcW w:type="dxa" w:w="4650"/>
            <w:shd w:fill="F4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Roughly 190 points representing four record types (Product, Billing, Support, Marketing) that scatter or snap into labeled clusters on a single explicit action.</w:t>
            </w:r>
          </w:p>
        </w:tc>
        <w:tc>
          <w:tcPr>
            <w:tcW w:type="dxa" w:w="2500"/>
            <w:shd w:fill="F4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C22"/>
                <w:sz w:val="20"/>
                <w:szCs w:val="20"/>
              </w:rPr>
              <w:t xml:space="preserve">React Three Fiber, ref-driven lerp, reversible on click</w:t>
            </w:r>
          </w:p>
        </w:tc>
      </w:tr>
    </w:tbl>
    <w:p>
      <w:pPr>
        <w:pStyle w:val="Heading1"/>
        <w:spacing w:after="160" w:before="320"/>
      </w:pPr>
      <w:r>
        <w:t xml:space="preserve">3. Design system</w:t>
      </w:r>
    </w:p>
    <w:p>
      <w:pPr>
        <w:spacing w:after="40" w:before="200"/>
      </w:pPr>
      <w:r>
        <w:rPr>
          <w:b/>
          <w:bCs/>
          <w:color w:val="5B6EF5"/>
          <w:spacing w:val="20"/>
          <w:sz w:val="18"/>
          <w:szCs w:val="18"/>
        </w:rPr>
        <w:t xml:space="preserve">COLOR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Deep near-black background (#0A0B0F) with two raised surface tones for cards and panels, hairline borders instead of shadows for structure, and three accents used with intent rather than decoration: indigo (#5B6EF5) for structured/primary state, cyan (#4CC9F0) for raw data and live status, and violet (#9B7CFF) reserved for the automations moment.</w:t>
      </w:r>
    </w:p>
    <w:p>
      <w:pPr>
        <w:spacing w:after="40" w:before="200"/>
      </w:pPr>
      <w:r>
        <w:rPr>
          <w:b/>
          <w:bCs/>
          <w:color w:val="5B6EF5"/>
          <w:spacing w:val="20"/>
          <w:sz w:val="18"/>
          <w:szCs w:val="18"/>
        </w:rPr>
        <w:t xml:space="preserve">TYPE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Space Grotesk carries headlines — geometric and slightly technical, in keeping with an engineering-facing product. Inter carries body copy for maximum legibility at small sizes. JetBrains Mono is reserved for anything that reads as literal data: eyebrows, status labels, timestamps — so monospace consistently signals "this is a system value," not a stylistic flourish.</w:t>
      </w:r>
    </w:p>
    <w:p>
      <w:pPr>
        <w:spacing w:after="40" w:before="200"/>
      </w:pPr>
      <w:r>
        <w:rPr>
          <w:b/>
          <w:bCs/>
          <w:color w:val="5B6EF5"/>
          <w:spacing w:val="20"/>
          <w:sz w:val="18"/>
          <w:szCs w:val="18"/>
        </w:rPr>
        <w:t xml:space="preserve">LAYOUT &amp; MOTION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Sections are full-bleed with a consistent max content width (1400px) and a hairline grid backdrop that echoes the "structured" half of the core narrative even in static sections. Motion is scroll- or action-driven throughout — nothing loops or plays automatically — so the page stays calm until the visitor moves.</w:t>
      </w:r>
    </w:p>
    <w:p>
      <w:pPr>
        <w:pStyle w:val="Heading1"/>
        <w:spacing w:after="160" w:before="320"/>
      </w:pPr>
      <w:r>
        <w:t xml:space="preserve">4. User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Visitor lands on the hero, sees raw data at rest; scrolling begins resolving it into a grid — this is the page's thesis, stated visually before any copy is read in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Continued scroll pins the Insight Flow: the visitor scrubs through Ingest → Analyze → Generate at their own pace, each stage backed by a drawn line and a two-sentence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The Dashboard Preview grounds the abstraction in a concrete product screen the visitor can imagine using day-to-day, including switching tabs themselves.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The Signature Interaction closes the page by inviting one direct action — organizing scattered records into clusters — turning the page's central metaphor into something the visitor did, not just watched.</w:t>
      </w:r>
    </w:p>
    <w:p>
      <w:pPr>
        <w:pStyle w:val="Heading1"/>
        <w:spacing w:after="160" w:before="320"/>
      </w:pPr>
      <w:r>
        <w:t xml:space="preserve">5. Engineering notes</w:t>
      </w:r>
    </w:p>
    <w:p>
      <w:pPr>
        <w:spacing w:after="160"/>
      </w:pPr>
      <w:r>
        <w:rPr>
          <w:color w:val="1A1C22"/>
          <w:sz w:val="22"/>
          <w:szCs w:val="22"/>
        </w:rPr>
        <w:t xml:space="preserve">Built in Next.js 16 (App Router, TypeScript) with Tailwind CSS v4 for the token system, Framer Motion for UI choreography, GSAP + ScrollTrigger for the pinned scroll timeline, and React Three Fiber for both WebGL scenes. Full technical detail, setup instructions, and the animation-decision rationale are in the repository README.</w:t>
      </w:r>
    </w:p>
    <w:p>
      <w:pPr>
        <w:pStyle w:val="Heading1"/>
        <w:spacing w:after="160" w:before="320"/>
      </w:pPr>
      <w:r>
        <w:t xml:space="preserve">6.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Figma design file: [add public Figma link before submitting]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GitHub repository: [add public repo link before submitting]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Live deployment: [add Vercel/Netlify URL before submitting]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C22"/>
          <w:sz w:val="22"/>
          <w:szCs w:val="22"/>
        </w:rPr>
        <w:t xml:space="preserve">Walkthrough video: [add Google Drive / YouTube link before submitting]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2026-07-03T02:28:35.209Z</dcterms:created>
  <dcterms:modified xsi:type="dcterms:W3CDTF">2026-07-03T02:28:35.209Z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