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E1EF2" w14:textId="52FDAC05" w:rsidR="00415EA8" w:rsidRPr="00CD01A3" w:rsidRDefault="00000000">
      <w:pPr>
        <w:spacing w:after="462" w:line="267" w:lineRule="auto"/>
        <w:jc w:val="center"/>
        <w:rPr>
          <w:rFonts w:ascii="Calibri" w:hAnsi="Calibri" w:cs="Calibri"/>
        </w:rPr>
      </w:pPr>
      <w:r w:rsidRPr="00CD01A3">
        <w:rPr>
          <w:rFonts w:ascii="Calibri" w:hAnsi="Calibri" w:cs="Calibri"/>
          <w:b/>
          <w:color w:val="284678"/>
          <w:sz w:val="30"/>
        </w:rPr>
        <w:t>SentinURL</w:t>
      </w:r>
    </w:p>
    <w:p w14:paraId="0F873863" w14:textId="77777777" w:rsidR="006B098B" w:rsidRDefault="00000000" w:rsidP="006B098B">
      <w:pPr>
        <w:spacing w:after="636" w:line="259" w:lineRule="auto"/>
        <w:ind w:left="0" w:firstLine="0"/>
        <w:jc w:val="left"/>
        <w:rPr>
          <w:rFonts w:ascii="Calibri" w:hAnsi="Calibri" w:cs="Calibri"/>
        </w:rPr>
      </w:pPr>
      <w:r w:rsidRPr="00CD01A3">
        <w:rPr>
          <w:rFonts w:ascii="Calibri" w:hAnsi="Calibri" w:cs="Calibri"/>
          <w:b/>
          <w:color w:val="284678"/>
          <w:sz w:val="20"/>
        </w:rPr>
        <w:t>AI-Driven Risk Intelligence for the Zero-Day Era</w:t>
      </w:r>
    </w:p>
    <w:p w14:paraId="50BA732D" w14:textId="35155C6B" w:rsidR="00415EA8" w:rsidRPr="00CD01A3" w:rsidRDefault="00000000" w:rsidP="006B098B">
      <w:pPr>
        <w:spacing w:after="636" w:line="259" w:lineRule="auto"/>
        <w:ind w:left="0" w:firstLine="0"/>
        <w:jc w:val="left"/>
        <w:rPr>
          <w:rFonts w:ascii="Calibri" w:hAnsi="Calibri" w:cs="Calibri"/>
        </w:rPr>
      </w:pPr>
      <w:r w:rsidRPr="006B098B">
        <w:rPr>
          <w:rFonts w:ascii="Calibri" w:hAnsi="Calibri" w:cs="Calibri"/>
          <w:b/>
          <w:bCs/>
        </w:rPr>
        <w:t>Mission:</w:t>
      </w:r>
      <w:r w:rsidRPr="00CD01A3">
        <w:rPr>
          <w:rFonts w:ascii="Calibri" w:hAnsi="Calibri" w:cs="Calibri"/>
        </w:rPr>
        <w:t xml:space="preserve"> To eliminate the "Time-of-Check vs. Time-of-Use" gap in cybersecurity through predictive, multi-stage machine learning at the edge.</w:t>
      </w:r>
    </w:p>
    <w:p w14:paraId="1BE175F8" w14:textId="77777777" w:rsidR="00415EA8" w:rsidRPr="00CD01A3" w:rsidRDefault="00000000">
      <w:pPr>
        <w:spacing w:after="750" w:line="259" w:lineRule="auto"/>
        <w:ind w:left="-57" w:right="-57" w:firstLine="0"/>
        <w:jc w:val="left"/>
        <w:rPr>
          <w:rFonts w:ascii="Calibri" w:hAnsi="Calibri" w:cs="Calibri"/>
        </w:rPr>
      </w:pPr>
      <w:r w:rsidRPr="00CD01A3">
        <w:rPr>
          <w:rFonts w:ascii="Calibri" w:eastAsia="Calibri" w:hAnsi="Calibri" w:cs="Calibri"/>
          <w:noProof/>
        </w:rPr>
        <mc:AlternateContent>
          <mc:Choice Requires="wpg">
            <w:drawing>
              <wp:inline distT="0" distB="0" distL="0" distR="0" wp14:anchorId="0503D6E1" wp14:editId="7F57197A">
                <wp:extent cx="6839966" cy="7239"/>
                <wp:effectExtent l="0" t="0" r="0" b="0"/>
                <wp:docPr id="831" name="Group 831"/>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11" name="Shape 11"/>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1" style="width:538.58pt;height:0.57pt;mso-position-horizontal-relative:char;mso-position-vertical-relative:line" coordsize="68399,72">
                <v:shape id="Shape 11" style="position:absolute;width:68399;height:0;left:0;top:0;" coordsize="6839966,0" path="m0,0l6839966,0">
                  <v:stroke weight="0.57pt" endcap="square" joinstyle="miter" miterlimit="10" on="true" color="#000000"/>
                  <v:fill on="false" color="#000000" opacity="0"/>
                </v:shape>
              </v:group>
            </w:pict>
          </mc:Fallback>
        </mc:AlternateContent>
      </w:r>
    </w:p>
    <w:p w14:paraId="33775ECC" w14:textId="77777777" w:rsidR="00415EA8" w:rsidRPr="00CD01A3" w:rsidRDefault="00000000">
      <w:pPr>
        <w:pStyle w:val="Heading1"/>
        <w:ind w:left="-5"/>
        <w:rPr>
          <w:rFonts w:ascii="Calibri" w:hAnsi="Calibri" w:cs="Calibri"/>
        </w:rPr>
      </w:pPr>
      <w:r w:rsidRPr="00CD01A3">
        <w:rPr>
          <w:rFonts w:ascii="Calibri" w:hAnsi="Calibri" w:cs="Calibri"/>
        </w:rPr>
        <w:t>The Problem</w:t>
      </w:r>
    </w:p>
    <w:p w14:paraId="057C7854" w14:textId="59488A37" w:rsidR="00415EA8" w:rsidRPr="00CD01A3" w:rsidRDefault="00000000">
      <w:pPr>
        <w:spacing w:after="0" w:line="376" w:lineRule="auto"/>
        <w:ind w:left="-5"/>
        <w:rPr>
          <w:rFonts w:ascii="Calibri" w:hAnsi="Calibri" w:cs="Calibri"/>
        </w:rPr>
      </w:pPr>
      <w:r w:rsidRPr="00CD01A3">
        <w:rPr>
          <w:rFonts w:ascii="Calibri" w:hAnsi="Calibri" w:cs="Calibri"/>
        </w:rPr>
        <w:t>Phishing remains the #1 entry vector for cyberattacks, costing enterprises an average of $4.45 million per breach. Traditional defenses (blocklists, firewalls) are reactive-they only block a threat after a victim has</w:t>
      </w:r>
    </w:p>
    <w:p w14:paraId="1320D52F" w14:textId="77777777" w:rsidR="00415EA8" w:rsidRPr="00CD01A3" w:rsidRDefault="00000000">
      <w:pPr>
        <w:spacing w:after="549"/>
        <w:ind w:left="-5"/>
        <w:rPr>
          <w:rFonts w:ascii="Calibri" w:hAnsi="Calibri" w:cs="Calibri"/>
        </w:rPr>
      </w:pPr>
      <w:r w:rsidRPr="00CD01A3">
        <w:rPr>
          <w:rFonts w:ascii="Calibri" w:hAnsi="Calibri" w:cs="Calibri"/>
        </w:rPr>
        <w:t>already been compromised.</w:t>
      </w:r>
    </w:p>
    <w:p w14:paraId="6D9F150F" w14:textId="77777777" w:rsidR="00415EA8" w:rsidRPr="00CD01A3" w:rsidRDefault="00000000">
      <w:pPr>
        <w:pStyle w:val="Heading1"/>
        <w:ind w:left="-5"/>
        <w:rPr>
          <w:rFonts w:ascii="Calibri" w:hAnsi="Calibri" w:cs="Calibri"/>
        </w:rPr>
      </w:pPr>
      <w:r w:rsidRPr="00CD01A3">
        <w:rPr>
          <w:rFonts w:ascii="Calibri" w:hAnsi="Calibri" w:cs="Calibri"/>
        </w:rPr>
        <w:t>The Solution: SentinURL</w:t>
      </w:r>
    </w:p>
    <w:p w14:paraId="0AF7C801" w14:textId="4CCFBE90" w:rsidR="00415EA8" w:rsidRPr="00CD01A3" w:rsidRDefault="00000000">
      <w:pPr>
        <w:spacing w:after="30" w:line="376" w:lineRule="auto"/>
        <w:ind w:left="-5"/>
        <w:rPr>
          <w:rFonts w:ascii="Calibri" w:hAnsi="Calibri" w:cs="Calibri"/>
        </w:rPr>
      </w:pPr>
      <w:r w:rsidRPr="006B098B">
        <w:rPr>
          <w:rFonts w:ascii="Calibri" w:hAnsi="Calibri" w:cs="Calibri"/>
          <w:b/>
          <w:bCs/>
        </w:rPr>
        <w:t>SentinURL</w:t>
      </w:r>
      <w:r w:rsidRPr="00CD01A3">
        <w:rPr>
          <w:rFonts w:ascii="Calibri" w:hAnsi="Calibri" w:cs="Calibri"/>
        </w:rPr>
        <w:t xml:space="preserve"> is a proactive threat intelligence ecosystem that identifies malware and phishing campaigns based on their structural DNA, not just their history. By combining Business Intelligence (BI) modeling with Cybersecurity defense, it transforms raw URL telemetry into a definitive security posture.</w:t>
      </w:r>
    </w:p>
    <w:p w14:paraId="5EC08309" w14:textId="77777777" w:rsidR="00415EA8" w:rsidRPr="00CD01A3" w:rsidRDefault="00000000">
      <w:pPr>
        <w:spacing w:after="750" w:line="259" w:lineRule="auto"/>
        <w:ind w:left="-57" w:right="-57" w:firstLine="0"/>
        <w:jc w:val="left"/>
        <w:rPr>
          <w:rFonts w:ascii="Calibri" w:hAnsi="Calibri" w:cs="Calibri"/>
        </w:rPr>
      </w:pPr>
      <w:r w:rsidRPr="00CD01A3">
        <w:rPr>
          <w:rFonts w:ascii="Calibri" w:eastAsia="Calibri" w:hAnsi="Calibri" w:cs="Calibri"/>
          <w:noProof/>
        </w:rPr>
        <mc:AlternateContent>
          <mc:Choice Requires="wpg">
            <w:drawing>
              <wp:inline distT="0" distB="0" distL="0" distR="0" wp14:anchorId="4B794FCF" wp14:editId="07F7A706">
                <wp:extent cx="6839966" cy="7239"/>
                <wp:effectExtent l="0" t="0" r="0" b="0"/>
                <wp:docPr id="832" name="Group 832"/>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0" name="Shape 20"/>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2" style="width:538.58pt;height:0.57pt;mso-position-horizontal-relative:char;mso-position-vertical-relative:line" coordsize="68399,72">
                <v:shape id="Shape 20" style="position:absolute;width:68399;height:0;left:0;top:0;" coordsize="6839966,0" path="m0,0l6839966,0">
                  <v:stroke weight="0.57pt" endcap="square" joinstyle="miter" miterlimit="10" on="true" color="#000000"/>
                  <v:fill on="false" color="#000000" opacity="0"/>
                </v:shape>
              </v:group>
            </w:pict>
          </mc:Fallback>
        </mc:AlternateContent>
      </w:r>
    </w:p>
    <w:p w14:paraId="1A6FE4B6" w14:textId="77777777" w:rsidR="00415EA8" w:rsidRPr="00CD01A3" w:rsidRDefault="00000000">
      <w:pPr>
        <w:pStyle w:val="Heading1"/>
        <w:ind w:left="-5"/>
        <w:rPr>
          <w:rFonts w:ascii="Calibri" w:hAnsi="Calibri" w:cs="Calibri"/>
        </w:rPr>
      </w:pPr>
      <w:r w:rsidRPr="00CD01A3">
        <w:rPr>
          <w:rFonts w:ascii="Calibri" w:hAnsi="Calibri" w:cs="Calibri"/>
        </w:rPr>
        <w:t>Performance Benchmark</w:t>
      </w:r>
    </w:p>
    <w:p w14:paraId="51A5D7EF" w14:textId="77777777" w:rsidR="00415EA8" w:rsidRPr="00CD01A3" w:rsidRDefault="00000000">
      <w:pPr>
        <w:ind w:left="-5"/>
        <w:rPr>
          <w:rFonts w:ascii="Calibri" w:hAnsi="Calibri" w:cs="Calibri"/>
        </w:rPr>
      </w:pPr>
      <w:r w:rsidRPr="00CD01A3">
        <w:rPr>
          <w:rFonts w:ascii="Calibri" w:hAnsi="Calibri" w:cs="Calibri"/>
        </w:rPr>
        <w:t>| Metric | Result | Impact |</w:t>
      </w:r>
    </w:p>
    <w:p w14:paraId="28294622" w14:textId="6C4D87CA" w:rsidR="00415EA8" w:rsidRPr="00CD01A3" w:rsidRDefault="00000000">
      <w:pPr>
        <w:ind w:left="-5"/>
        <w:rPr>
          <w:rFonts w:ascii="Calibri" w:hAnsi="Calibri" w:cs="Calibri"/>
        </w:rPr>
      </w:pPr>
      <w:r w:rsidRPr="00CD01A3">
        <w:rPr>
          <w:rFonts w:ascii="Calibri" w:hAnsi="Calibri" w:cs="Calibri"/>
        </w:rPr>
        <w:t>| Global Accuracy | 99.55% | Industry-leading detection on live feeds. |</w:t>
      </w:r>
    </w:p>
    <w:p w14:paraId="52743B8D" w14:textId="7A452456" w:rsidR="00415EA8" w:rsidRPr="00CD01A3" w:rsidRDefault="00000000">
      <w:pPr>
        <w:ind w:left="-5"/>
        <w:rPr>
          <w:rFonts w:ascii="Calibri" w:hAnsi="Calibri" w:cs="Calibri"/>
        </w:rPr>
      </w:pPr>
      <w:r w:rsidRPr="00CD01A3">
        <w:rPr>
          <w:rFonts w:ascii="Calibri" w:hAnsi="Calibri" w:cs="Calibri"/>
        </w:rPr>
        <w:t>| Response Latency | &lt; 4ms | Identifies threats faster than the user can blink. |</w:t>
      </w:r>
    </w:p>
    <w:p w14:paraId="501D68B6" w14:textId="74C93B44" w:rsidR="00415EA8" w:rsidRPr="00CD01A3" w:rsidRDefault="00000000">
      <w:pPr>
        <w:ind w:left="-5"/>
        <w:rPr>
          <w:rFonts w:ascii="Calibri" w:hAnsi="Calibri" w:cs="Calibri"/>
        </w:rPr>
      </w:pPr>
      <w:r w:rsidRPr="00CD01A3">
        <w:rPr>
          <w:rFonts w:ascii="Calibri" w:hAnsi="Calibri" w:cs="Calibri"/>
        </w:rPr>
        <w:t>| Zero-Day Catch Rate | High | Catching URLs created 5 minutes ago using HGB-ML. |</w:t>
      </w:r>
    </w:p>
    <w:p w14:paraId="1346FBD1" w14:textId="1B6F1200" w:rsidR="00415EA8" w:rsidRPr="00CD01A3" w:rsidRDefault="00000000">
      <w:pPr>
        <w:spacing w:after="148"/>
        <w:ind w:left="-5"/>
        <w:rPr>
          <w:rFonts w:ascii="Calibri" w:hAnsi="Calibri" w:cs="Calibri"/>
        </w:rPr>
      </w:pPr>
      <w:r w:rsidRPr="00CD01A3">
        <w:rPr>
          <w:rFonts w:ascii="Calibri" w:hAnsi="Calibri" w:cs="Calibri"/>
        </w:rPr>
        <w:t>| Operational Friction | 0% | Fail-safe logic protects established business traffic. |</w:t>
      </w:r>
    </w:p>
    <w:p w14:paraId="25373168" w14:textId="77777777" w:rsidR="00415EA8" w:rsidRPr="00CD01A3" w:rsidRDefault="00000000">
      <w:pPr>
        <w:spacing w:after="750" w:line="259" w:lineRule="auto"/>
        <w:ind w:left="-57" w:right="-57" w:firstLine="0"/>
        <w:jc w:val="left"/>
        <w:rPr>
          <w:rFonts w:ascii="Calibri" w:hAnsi="Calibri" w:cs="Calibri"/>
        </w:rPr>
      </w:pPr>
      <w:r w:rsidRPr="00CD01A3">
        <w:rPr>
          <w:rFonts w:ascii="Calibri" w:eastAsia="Calibri" w:hAnsi="Calibri" w:cs="Calibri"/>
          <w:noProof/>
        </w:rPr>
        <mc:AlternateContent>
          <mc:Choice Requires="wpg">
            <w:drawing>
              <wp:inline distT="0" distB="0" distL="0" distR="0" wp14:anchorId="42CF3718" wp14:editId="22816A1D">
                <wp:extent cx="6839966" cy="7239"/>
                <wp:effectExtent l="0" t="0" r="0" b="0"/>
                <wp:docPr id="833" name="Group 833"/>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28" name="Shape 28"/>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33" style="width:538.58pt;height:0.57pt;mso-position-horizontal-relative:char;mso-position-vertical-relative:line" coordsize="68399,72">
                <v:shape id="Shape 28" style="position:absolute;width:68399;height:0;left:0;top:0;" coordsize="6839966,0" path="m0,0l6839966,0">
                  <v:stroke weight="0.57pt" endcap="square" joinstyle="miter" miterlimit="10" on="true" color="#000000"/>
                  <v:fill on="false" color="#000000" opacity="0"/>
                </v:shape>
              </v:group>
            </w:pict>
          </mc:Fallback>
        </mc:AlternateContent>
      </w:r>
    </w:p>
    <w:p w14:paraId="15064194" w14:textId="77777777" w:rsidR="00CD01A3" w:rsidRPr="00CD01A3" w:rsidRDefault="00CD01A3">
      <w:pPr>
        <w:spacing w:after="160" w:line="278" w:lineRule="auto"/>
        <w:ind w:left="0" w:firstLine="0"/>
        <w:jc w:val="left"/>
        <w:rPr>
          <w:rFonts w:ascii="Calibri" w:hAnsi="Calibri" w:cs="Calibri"/>
          <w:b/>
          <w:color w:val="284678"/>
          <w:sz w:val="24"/>
        </w:rPr>
      </w:pPr>
      <w:r w:rsidRPr="00CD01A3">
        <w:rPr>
          <w:rFonts w:ascii="Calibri" w:hAnsi="Calibri" w:cs="Calibri"/>
        </w:rPr>
        <w:br w:type="page"/>
      </w:r>
    </w:p>
    <w:p w14:paraId="516F2A43" w14:textId="490662B9" w:rsidR="00415EA8" w:rsidRPr="00CD01A3" w:rsidRDefault="00000000">
      <w:pPr>
        <w:pStyle w:val="Heading1"/>
        <w:ind w:left="-5"/>
        <w:rPr>
          <w:rFonts w:ascii="Calibri" w:hAnsi="Calibri" w:cs="Calibri"/>
        </w:rPr>
      </w:pPr>
      <w:r w:rsidRPr="00CD01A3">
        <w:rPr>
          <w:rFonts w:ascii="Calibri" w:hAnsi="Calibri" w:cs="Calibri"/>
        </w:rPr>
        <w:lastRenderedPageBreak/>
        <w:t>Technical Core</w:t>
      </w:r>
    </w:p>
    <w:p w14:paraId="30B5311F" w14:textId="4E39D00A" w:rsidR="00415EA8" w:rsidRPr="00CD01A3" w:rsidRDefault="00000000">
      <w:pPr>
        <w:numPr>
          <w:ilvl w:val="0"/>
          <w:numId w:val="1"/>
        </w:numPr>
        <w:ind w:hanging="269"/>
        <w:rPr>
          <w:rFonts w:ascii="Calibri" w:hAnsi="Calibri" w:cs="Calibri"/>
        </w:rPr>
      </w:pPr>
      <w:r w:rsidRPr="006B098B">
        <w:rPr>
          <w:rFonts w:ascii="Calibri" w:hAnsi="Calibri" w:cs="Calibri"/>
          <w:b/>
          <w:bCs/>
        </w:rPr>
        <w:t>Stage 1 (NLP):</w:t>
      </w:r>
      <w:r w:rsidRPr="00CD01A3">
        <w:rPr>
          <w:rFonts w:ascii="Calibri" w:hAnsi="Calibri" w:cs="Calibri"/>
        </w:rPr>
        <w:t xml:space="preserve"> Lexical frequency analysis (TF-IDF) used for social engineering detection.</w:t>
      </w:r>
    </w:p>
    <w:p w14:paraId="322A3181" w14:textId="58912EDF" w:rsidR="00415EA8" w:rsidRPr="00CD01A3" w:rsidRDefault="00000000">
      <w:pPr>
        <w:numPr>
          <w:ilvl w:val="0"/>
          <w:numId w:val="1"/>
        </w:numPr>
        <w:spacing w:after="639"/>
        <w:ind w:hanging="269"/>
        <w:rPr>
          <w:rFonts w:ascii="Calibri" w:hAnsi="Calibri" w:cs="Calibri"/>
        </w:rPr>
      </w:pPr>
      <w:r w:rsidRPr="006B098B">
        <w:rPr>
          <w:rFonts w:ascii="Calibri" w:hAnsi="Calibri" w:cs="Calibri"/>
          <w:b/>
          <w:bCs/>
        </w:rPr>
        <w:t>Stage 2 (HGB):</w:t>
      </w:r>
      <w:r w:rsidRPr="00CD01A3">
        <w:rPr>
          <w:rFonts w:ascii="Calibri" w:hAnsi="Calibri" w:cs="Calibri"/>
        </w:rPr>
        <w:t xml:space="preserve"> Predictive structural fingerprinting for zero-day malware delivery.</w:t>
      </w:r>
    </w:p>
    <w:p w14:paraId="3B0FD020" w14:textId="66B37016" w:rsidR="00415EA8" w:rsidRPr="00CD01A3" w:rsidRDefault="00000000">
      <w:pPr>
        <w:numPr>
          <w:ilvl w:val="0"/>
          <w:numId w:val="1"/>
        </w:numPr>
        <w:spacing w:after="57" w:line="376" w:lineRule="auto"/>
        <w:ind w:hanging="269"/>
        <w:rPr>
          <w:rFonts w:ascii="Calibri" w:hAnsi="Calibri" w:cs="Calibri"/>
        </w:rPr>
      </w:pPr>
      <w:r w:rsidRPr="006B098B">
        <w:rPr>
          <w:rFonts w:ascii="Calibri" w:hAnsi="Calibri" w:cs="Calibri"/>
          <w:b/>
          <w:bCs/>
        </w:rPr>
        <w:t>Dynamic Fusion:</w:t>
      </w:r>
      <w:r w:rsidRPr="00CD01A3">
        <w:rPr>
          <w:rFonts w:ascii="Calibri" w:hAnsi="Calibri" w:cs="Calibri"/>
        </w:rPr>
        <w:t xml:space="preserve"> A centralized master controller that resolves conflicts using Structural Bias logic </w:t>
      </w:r>
      <w:proofErr w:type="spellStart"/>
      <w:r w:rsidRPr="00CD01A3">
        <w:rPr>
          <w:rFonts w:ascii="Calibri" w:hAnsi="Calibri" w:cs="Calibri"/>
        </w:rPr>
        <w:t>andreal</w:t>
      </w:r>
      <w:proofErr w:type="spellEnd"/>
      <w:r w:rsidRPr="00CD01A3">
        <w:rPr>
          <w:rFonts w:ascii="Calibri" w:hAnsi="Calibri" w:cs="Calibri"/>
        </w:rPr>
        <w:t>-time telemetry (GSB, WHOIS, TLS).</w:t>
      </w:r>
    </w:p>
    <w:p w14:paraId="68B03DEE" w14:textId="0488021F" w:rsidR="00415EA8" w:rsidRPr="00CD01A3" w:rsidRDefault="00000000">
      <w:pPr>
        <w:numPr>
          <w:ilvl w:val="0"/>
          <w:numId w:val="1"/>
        </w:numPr>
        <w:spacing w:after="148"/>
        <w:ind w:hanging="269"/>
        <w:rPr>
          <w:rFonts w:ascii="Calibri" w:hAnsi="Calibri" w:cs="Calibri"/>
        </w:rPr>
      </w:pPr>
      <w:r w:rsidRPr="006B098B">
        <w:rPr>
          <w:rFonts w:ascii="Calibri" w:hAnsi="Calibri" w:cs="Calibri"/>
          <w:b/>
          <w:bCs/>
        </w:rPr>
        <w:t>Quishing Defense:</w:t>
      </w:r>
      <w:r w:rsidRPr="00CD01A3">
        <w:rPr>
          <w:rFonts w:ascii="Calibri" w:hAnsi="Calibri" w:cs="Calibri"/>
        </w:rPr>
        <w:t xml:space="preserve"> Automated QR-code extraction and scanning.</w:t>
      </w:r>
    </w:p>
    <w:p w14:paraId="4C44B94A" w14:textId="77777777" w:rsidR="00415EA8" w:rsidRPr="00CD01A3" w:rsidRDefault="00000000">
      <w:pPr>
        <w:spacing w:after="750" w:line="259" w:lineRule="auto"/>
        <w:ind w:left="-57" w:right="-57" w:firstLine="0"/>
        <w:jc w:val="left"/>
        <w:rPr>
          <w:rFonts w:ascii="Calibri" w:hAnsi="Calibri" w:cs="Calibri"/>
        </w:rPr>
      </w:pPr>
      <w:r w:rsidRPr="00CD01A3">
        <w:rPr>
          <w:rFonts w:ascii="Calibri" w:eastAsia="Calibri" w:hAnsi="Calibri" w:cs="Calibri"/>
          <w:noProof/>
        </w:rPr>
        <mc:AlternateContent>
          <mc:Choice Requires="wpg">
            <w:drawing>
              <wp:inline distT="0" distB="0" distL="0" distR="0" wp14:anchorId="59D09E92" wp14:editId="33601E2F">
                <wp:extent cx="6839966" cy="7239"/>
                <wp:effectExtent l="0" t="0" r="0" b="0"/>
                <wp:docPr id="756" name="Group 756"/>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39" name="Shape 39"/>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6" style="width:538.58pt;height:0.57pt;mso-position-horizontal-relative:char;mso-position-vertical-relative:line" coordsize="68399,72">
                <v:shape id="Shape 39" style="position:absolute;width:68399;height:0;left:0;top:0;" coordsize="6839966,0" path="m0,0l6839966,0">
                  <v:stroke weight="0.57pt" endcap="square" joinstyle="miter" miterlimit="10" on="true" color="#000000"/>
                  <v:fill on="false" color="#000000" opacity="0"/>
                </v:shape>
              </v:group>
            </w:pict>
          </mc:Fallback>
        </mc:AlternateContent>
      </w:r>
    </w:p>
    <w:p w14:paraId="03851FF5" w14:textId="77777777" w:rsidR="00415EA8" w:rsidRPr="00CD01A3" w:rsidRDefault="00000000">
      <w:pPr>
        <w:pStyle w:val="Heading1"/>
        <w:ind w:left="-5"/>
        <w:rPr>
          <w:rFonts w:ascii="Calibri" w:hAnsi="Calibri" w:cs="Calibri"/>
        </w:rPr>
      </w:pPr>
      <w:r w:rsidRPr="00CD01A3">
        <w:rPr>
          <w:rFonts w:ascii="Calibri" w:hAnsi="Calibri" w:cs="Calibri"/>
        </w:rPr>
        <w:t>Commercial &amp; Strategic Value</w:t>
      </w:r>
    </w:p>
    <w:p w14:paraId="2527A5D7" w14:textId="628DFBBF" w:rsidR="00415EA8" w:rsidRPr="00CD01A3" w:rsidRDefault="00000000">
      <w:pPr>
        <w:numPr>
          <w:ilvl w:val="0"/>
          <w:numId w:val="2"/>
        </w:numPr>
        <w:spacing w:after="57" w:line="376" w:lineRule="auto"/>
        <w:ind w:hanging="387"/>
        <w:rPr>
          <w:rFonts w:ascii="Calibri" w:hAnsi="Calibri" w:cs="Calibri"/>
        </w:rPr>
      </w:pPr>
      <w:r w:rsidRPr="00CD01A3">
        <w:rPr>
          <w:rFonts w:ascii="Calibri" w:hAnsi="Calibri" w:cs="Calibri"/>
        </w:rPr>
        <w:t xml:space="preserve">MSSP &amp; ISP Integration: Can be deployed as a "Secure Browsing" add-on for Jordanian </w:t>
      </w:r>
      <w:r w:rsidR="00775142" w:rsidRPr="00CD01A3">
        <w:rPr>
          <w:rFonts w:ascii="Calibri" w:hAnsi="Calibri" w:cs="Calibri"/>
        </w:rPr>
        <w:t>Telecom customers</w:t>
      </w:r>
      <w:r w:rsidRPr="00CD01A3">
        <w:rPr>
          <w:rFonts w:ascii="Calibri" w:hAnsi="Calibri" w:cs="Calibri"/>
        </w:rPr>
        <w:t xml:space="preserve"> (Umniah, Zain).</w:t>
      </w:r>
    </w:p>
    <w:p w14:paraId="7D11E68B" w14:textId="2BABCB10" w:rsidR="00415EA8" w:rsidRPr="00CD01A3" w:rsidRDefault="00000000">
      <w:pPr>
        <w:numPr>
          <w:ilvl w:val="0"/>
          <w:numId w:val="2"/>
        </w:numPr>
        <w:spacing w:after="118"/>
        <w:ind w:hanging="387"/>
        <w:rPr>
          <w:rFonts w:ascii="Calibri" w:hAnsi="Calibri" w:cs="Calibri"/>
        </w:rPr>
      </w:pPr>
      <w:r w:rsidRPr="00CD01A3">
        <w:rPr>
          <w:rFonts w:ascii="Calibri" w:hAnsi="Calibri" w:cs="Calibri"/>
        </w:rPr>
        <w:t>Enterprise SOC Tool: A high-speed investigative triage center for IT teams to scan batch logs of</w:t>
      </w:r>
    </w:p>
    <w:p w14:paraId="32C6609A" w14:textId="77777777" w:rsidR="00415EA8" w:rsidRPr="00CD01A3" w:rsidRDefault="00000000">
      <w:pPr>
        <w:ind w:left="-5"/>
        <w:rPr>
          <w:rFonts w:ascii="Calibri" w:hAnsi="Calibri" w:cs="Calibri"/>
        </w:rPr>
      </w:pPr>
      <w:r w:rsidRPr="00CD01A3">
        <w:rPr>
          <w:rFonts w:ascii="Calibri" w:hAnsi="Calibri" w:cs="Calibri"/>
        </w:rPr>
        <w:t>suspicious traffic instantly.</w:t>
      </w:r>
    </w:p>
    <w:p w14:paraId="7F74C264" w14:textId="152ED70E" w:rsidR="00415EA8" w:rsidRPr="00CD01A3" w:rsidRDefault="00000000">
      <w:pPr>
        <w:numPr>
          <w:ilvl w:val="0"/>
          <w:numId w:val="2"/>
        </w:numPr>
        <w:spacing w:after="30" w:line="376" w:lineRule="auto"/>
        <w:ind w:hanging="387"/>
        <w:rPr>
          <w:rFonts w:ascii="Calibri" w:hAnsi="Calibri" w:cs="Calibri"/>
        </w:rPr>
      </w:pPr>
      <w:r w:rsidRPr="00CD01A3">
        <w:rPr>
          <w:rFonts w:ascii="Calibri" w:hAnsi="Calibri" w:cs="Calibri"/>
        </w:rPr>
        <w:t>National Cyber Defense: Aligns with national security goals by providing a portable, high-</w:t>
      </w:r>
      <w:r w:rsidR="00486413" w:rsidRPr="00CD01A3">
        <w:rPr>
          <w:rFonts w:ascii="Calibri" w:hAnsi="Calibri" w:cs="Calibri"/>
        </w:rPr>
        <w:t>speed detection</w:t>
      </w:r>
      <w:r w:rsidRPr="00CD01A3">
        <w:rPr>
          <w:rFonts w:ascii="Calibri" w:hAnsi="Calibri" w:cs="Calibri"/>
        </w:rPr>
        <w:t xml:space="preserve"> engine for national infrastructure.</w:t>
      </w:r>
    </w:p>
    <w:p w14:paraId="3D527D59" w14:textId="77777777" w:rsidR="00415EA8" w:rsidRPr="00CD01A3" w:rsidRDefault="00000000">
      <w:pPr>
        <w:spacing w:after="750" w:line="259" w:lineRule="auto"/>
        <w:ind w:left="-57" w:right="-57" w:firstLine="0"/>
        <w:jc w:val="left"/>
        <w:rPr>
          <w:rFonts w:ascii="Calibri" w:hAnsi="Calibri" w:cs="Calibri"/>
        </w:rPr>
      </w:pPr>
      <w:r w:rsidRPr="00CD01A3">
        <w:rPr>
          <w:rFonts w:ascii="Calibri" w:eastAsia="Calibri" w:hAnsi="Calibri" w:cs="Calibri"/>
          <w:noProof/>
        </w:rPr>
        <mc:AlternateContent>
          <mc:Choice Requires="wpg">
            <w:drawing>
              <wp:inline distT="0" distB="0" distL="0" distR="0" wp14:anchorId="0972AE12" wp14:editId="0F8C9679">
                <wp:extent cx="6839966" cy="7239"/>
                <wp:effectExtent l="0" t="0" r="0" b="0"/>
                <wp:docPr id="757" name="Group 757"/>
                <wp:cNvGraphicFramePr/>
                <a:graphic xmlns:a="http://schemas.openxmlformats.org/drawingml/2006/main">
                  <a:graphicData uri="http://schemas.microsoft.com/office/word/2010/wordprocessingGroup">
                    <wpg:wgp>
                      <wpg:cNvGrpSpPr/>
                      <wpg:grpSpPr>
                        <a:xfrm>
                          <a:off x="0" y="0"/>
                          <a:ext cx="6839966" cy="7239"/>
                          <a:chOff x="0" y="0"/>
                          <a:chExt cx="6839966" cy="7239"/>
                        </a:xfrm>
                      </wpg:grpSpPr>
                      <wps:wsp>
                        <wps:cNvPr id="47" name="Shape 47"/>
                        <wps:cNvSpPr/>
                        <wps:spPr>
                          <a:xfrm>
                            <a:off x="0" y="0"/>
                            <a:ext cx="6839966" cy="0"/>
                          </a:xfrm>
                          <a:custGeom>
                            <a:avLst/>
                            <a:gdLst/>
                            <a:ahLst/>
                            <a:cxnLst/>
                            <a:rect l="0" t="0" r="0" b="0"/>
                            <a:pathLst>
                              <a:path w="6839966">
                                <a:moveTo>
                                  <a:pt x="0" y="0"/>
                                </a:moveTo>
                                <a:lnTo>
                                  <a:pt x="6839966" y="0"/>
                                </a:lnTo>
                              </a:path>
                            </a:pathLst>
                          </a:custGeom>
                          <a:ln w="7239" cap="sq">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57" style="width:538.58pt;height:0.57pt;mso-position-horizontal-relative:char;mso-position-vertical-relative:line" coordsize="68399,72">
                <v:shape id="Shape 47" style="position:absolute;width:68399;height:0;left:0;top:0;" coordsize="6839966,0" path="m0,0l6839966,0">
                  <v:stroke weight="0.57pt" endcap="square" joinstyle="miter" miterlimit="10" on="true" color="#000000"/>
                  <v:fill on="false" color="#000000" opacity="0"/>
                </v:shape>
              </v:group>
            </w:pict>
          </mc:Fallback>
        </mc:AlternateContent>
      </w:r>
    </w:p>
    <w:p w14:paraId="209FA576" w14:textId="77777777" w:rsidR="00415EA8" w:rsidRPr="00CD01A3" w:rsidRDefault="00000000">
      <w:pPr>
        <w:pStyle w:val="Heading1"/>
        <w:ind w:left="-5"/>
        <w:rPr>
          <w:rFonts w:ascii="Calibri" w:hAnsi="Calibri" w:cs="Calibri"/>
        </w:rPr>
      </w:pPr>
      <w:r w:rsidRPr="00CD01A3">
        <w:rPr>
          <w:rFonts w:ascii="Calibri" w:hAnsi="Calibri" w:cs="Calibri"/>
        </w:rPr>
        <w:t>Project Ownership</w:t>
      </w:r>
    </w:p>
    <w:p w14:paraId="279B6973" w14:textId="235F739C" w:rsidR="00415EA8" w:rsidRPr="00311B7E" w:rsidRDefault="00000000">
      <w:pPr>
        <w:ind w:left="-5"/>
        <w:rPr>
          <w:rFonts w:ascii="Calibri" w:hAnsi="Calibri" w:cs="Calibri"/>
          <w:b/>
          <w:bCs/>
        </w:rPr>
      </w:pPr>
      <w:r w:rsidRPr="00311B7E">
        <w:rPr>
          <w:rFonts w:ascii="Calibri" w:hAnsi="Calibri" w:cs="Calibri"/>
          <w:b/>
          <w:bCs/>
        </w:rPr>
        <w:t>Saif Al-Sabaneh</w:t>
      </w:r>
    </w:p>
    <w:p w14:paraId="1029227E" w14:textId="25474C72" w:rsidR="00415EA8" w:rsidRPr="00EF2C25" w:rsidRDefault="00000000">
      <w:pPr>
        <w:ind w:left="-5"/>
        <w:rPr>
          <w:rFonts w:ascii="Calibri" w:hAnsi="Calibri" w:cs="Calibri"/>
          <w:b/>
          <w:bCs/>
        </w:rPr>
      </w:pPr>
      <w:r w:rsidRPr="00EF2C25">
        <w:rPr>
          <w:rFonts w:ascii="Calibri" w:hAnsi="Calibri" w:cs="Calibri"/>
          <w:b/>
          <w:bCs/>
        </w:rPr>
        <w:t>Graduate of Business Intelligence &amp; Data Analytics</w:t>
      </w:r>
    </w:p>
    <w:p w14:paraId="40B3DAB0" w14:textId="33CAD4EF" w:rsidR="00311B7E" w:rsidRPr="00311B7E" w:rsidRDefault="00000000" w:rsidP="00311B7E">
      <w:pPr>
        <w:spacing w:after="5169" w:line="430" w:lineRule="auto"/>
        <w:ind w:left="-5" w:right="1928"/>
        <w:rPr>
          <w:rFonts w:ascii="Calibri" w:hAnsi="Calibri" w:cs="Calibri"/>
        </w:rPr>
      </w:pPr>
      <w:r w:rsidRPr="006B098B">
        <w:rPr>
          <w:rFonts w:ascii="Calibri" w:hAnsi="Calibri" w:cs="Calibri"/>
          <w:b/>
          <w:bCs/>
        </w:rPr>
        <w:t>GitHub Repository</w:t>
      </w:r>
      <w:r w:rsidR="006B098B" w:rsidRPr="006B098B">
        <w:rPr>
          <w:rFonts w:ascii="Calibri" w:hAnsi="Calibri" w:cs="Calibri"/>
          <w:b/>
          <w:bCs/>
        </w:rPr>
        <w:t xml:space="preserve">: </w:t>
      </w:r>
      <w:hyperlink r:id="rId5" w:history="1">
        <w:r w:rsidRPr="006B098B">
          <w:rPr>
            <w:rStyle w:val="Hyperlink"/>
            <w:rFonts w:ascii="Calibri" w:hAnsi="Calibri" w:cs="Calibri"/>
          </w:rPr>
          <w:t>https://github.com/SaifAl-Sabaneh/Sentinurl-Phishing-Detector</w:t>
        </w:r>
      </w:hyperlink>
    </w:p>
    <w:sectPr w:rsidR="00311B7E" w:rsidRPr="00311B7E">
      <w:pgSz w:w="11906" w:h="16838"/>
      <w:pgMar w:top="725" w:right="624" w:bottom="486"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B762C"/>
    <w:multiLevelType w:val="hybridMultilevel"/>
    <w:tmpl w:val="E03841CA"/>
    <w:lvl w:ilvl="0" w:tplc="6960F7D4">
      <w:start w:val="1"/>
      <w:numFmt w:val="bullet"/>
      <w:lvlText w:val="*"/>
      <w:lvlJc w:val="left"/>
      <w:pPr>
        <w:ind w:left="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50377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E421B8A">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B079F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7A475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F7C477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3061F0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2DA0B34">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F60F3C">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9CA2E9D"/>
    <w:multiLevelType w:val="hybridMultilevel"/>
    <w:tmpl w:val="F71EFFEA"/>
    <w:lvl w:ilvl="0" w:tplc="5296CD46">
      <w:start w:val="1"/>
      <w:numFmt w:val="decimal"/>
      <w:lvlText w:val="%1."/>
      <w:lvlJc w:val="left"/>
      <w:pPr>
        <w:ind w:left="3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F8BC6A">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31A091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89AC508">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982A0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3A8C55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0E5D2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8DA3D7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AAB2F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75072080">
    <w:abstractNumId w:val="0"/>
  </w:num>
  <w:num w:numId="2" w16cid:durableId="1570309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A8"/>
    <w:rsid w:val="00311B7E"/>
    <w:rsid w:val="003D47CA"/>
    <w:rsid w:val="00415EA8"/>
    <w:rsid w:val="00486413"/>
    <w:rsid w:val="006B098B"/>
    <w:rsid w:val="0074677C"/>
    <w:rsid w:val="00775142"/>
    <w:rsid w:val="00CD01A3"/>
    <w:rsid w:val="00EF2C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08CE"/>
  <w15:docId w15:val="{24959411-B1B5-49D1-8C22-96901697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65" w:lineRule="auto"/>
      <w:ind w:left="10"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91" w:line="259" w:lineRule="auto"/>
      <w:ind w:left="10" w:hanging="10"/>
      <w:outlineLvl w:val="0"/>
    </w:pPr>
    <w:rPr>
      <w:rFonts w:ascii="Arial" w:eastAsia="Arial" w:hAnsi="Arial" w:cs="Arial"/>
      <w:b/>
      <w:color w:val="2846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84678"/>
      <w:sz w:val="24"/>
    </w:rPr>
  </w:style>
  <w:style w:type="character" w:styleId="Hyperlink">
    <w:name w:val="Hyperlink"/>
    <w:basedOn w:val="DefaultParagraphFont"/>
    <w:uiPriority w:val="99"/>
    <w:unhideWhenUsed/>
    <w:rsid w:val="006B098B"/>
    <w:rPr>
      <w:color w:val="467886" w:themeColor="hyperlink"/>
      <w:u w:val="single"/>
    </w:rPr>
  </w:style>
  <w:style w:type="character" w:styleId="UnresolvedMention">
    <w:name w:val="Unresolved Mention"/>
    <w:basedOn w:val="DefaultParagraphFont"/>
    <w:uiPriority w:val="99"/>
    <w:semiHidden/>
    <w:unhideWhenUsed/>
    <w:rsid w:val="006B0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aifAl-Sabaneh/Sentinurl-Phishing-Detecto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سيف امجد محمد السباعنه</dc:creator>
  <cp:keywords/>
  <cp:lastModifiedBy>سيف امجد محمد السباعنه</cp:lastModifiedBy>
  <cp:revision>8</cp:revision>
  <dcterms:created xsi:type="dcterms:W3CDTF">2026-04-18T22:29:00Z</dcterms:created>
  <dcterms:modified xsi:type="dcterms:W3CDTF">2026-04-18T22:33:00Z</dcterms:modified>
</cp:coreProperties>
</file>