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1800"/>
        <w:jc w:val="center"/>
      </w:pPr>
      <w:r>
        <w:rPr>
          <w:b/>
          <w:bCs/>
          <w:color w:val="1F2A44"/>
          <w:sz w:val="44"/>
          <w:szCs w:val="44"/>
        </w:rPr>
        <w:t xml:space="preserve">Hospital Capacity &amp; Length-of-Stay</w:t>
      </w:r>
    </w:p>
    <w:p>
      <w:pPr>
        <w:spacing w:after="400"/>
        <w:jc w:val="center"/>
      </w:pPr>
      <w:r>
        <w:rPr>
          <w:color w:val="2E5EAA"/>
          <w:sz w:val="30"/>
          <w:szCs w:val="30"/>
        </w:rPr>
        <w:t xml:space="preserve">Diagnostic Analytics Case Study</w:t>
      </w:r>
    </w:p>
    <w:p>
      <w:pPr>
        <w:spacing w:after="60"/>
        <w:jc w:val="center"/>
      </w:pPr>
      <w:r>
        <w:rPr>
          <w:i/>
          <w:iCs/>
          <w:color w:val="595959"/>
          <w:sz w:val="20"/>
          <w:szCs w:val="20"/>
        </w:rPr>
        <w:t xml:space="preserve">Prepared using SQL Server, Power BI &amp; the 3-Breath Diagnostic Method</w:t>
      </w:r>
    </w:p>
    <w:p>
      <w:pPr>
        <w:spacing w:after="1600"/>
        <w:jc w:val="center"/>
      </w:pPr>
      <w:r>
        <w:rPr>
          <w:color w:val="595959"/>
          <w:sz w:val="18"/>
          <w:szCs w:val="18"/>
        </w:rPr>
        <w:t xml:space="preserve">Portfolio Case Study — August 2026</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2E5EAA" w:sz="4"/>
              <w:left w:val="single" w:color="2E5EAA" w:sz="24"/>
              <w:bottom w:val="single" w:color="2E5EAA" w:sz="4"/>
              <w:right w:val="single" w:color="2E5EAA" w:sz="4"/>
            </w:tcBorders>
            <w:shd w:fill="EAF0FB" w:val="clear"/>
            <w:tcMar>
              <w:top w:type="dxa" w:w="200"/>
              <w:left w:type="dxa" w:w="240"/>
              <w:bottom w:type="dxa" w:w="200"/>
              <w:right w:type="dxa" w:w="240"/>
            </w:tcMar>
          </w:tcPr>
          <w:p>
            <w:pPr>
              <w:spacing w:after="80"/>
            </w:pPr>
            <w:r>
              <w:rPr>
                <w:b/>
                <w:bCs/>
                <w:color w:val="1F2A44"/>
                <w:sz w:val="22"/>
                <w:szCs w:val="22"/>
              </w:rPr>
              <w:t xml:space="preserve">Headline Finding</w:t>
            </w:r>
          </w:p>
          <w:p>
            <w:r>
              <w:rPr>
                <w:color w:val="222222"/>
                <w:sz w:val="21"/>
                <w:szCs w:val="21"/>
              </w:rPr>
              <w:t xml:space="preserve">Hospital 2, Ward S runs 10.3 days longer than the system average — not explained by patient severity — representing ~22,100 recoverable bed-days per year.</w:t>
            </w:r>
          </w:p>
        </w:tc>
      </w:tr>
    </w:tbl>
    <w:p>
      <w:pPr>
        <w:pageBreakBefore/>
      </w:pPr>
      <w:r>
        <w:br/>
        <w:t xml:space="preserve"/>
      </w:r>
    </w:p>
    <w:p>
      <w:pPr>
        <w:pStyle w:val="Heading1"/>
        <w:spacing w:after="160" w:before="360"/>
      </w:pPr>
      <w:r>
        <w:rPr>
          <w:b/>
          <w:bCs/>
          <w:color w:val="1F2A44"/>
          <w:sz w:val="30"/>
          <w:szCs w:val="30"/>
        </w:rPr>
        <w:t xml:space="preserve">1. Executive Summary</w:t>
      </w:r>
    </w:p>
    <w:p>
      <w:pPr>
        <w:spacing w:after="160" w:line="300"/>
      </w:pPr>
      <w:r>
        <w:rPr>
          <w:color w:val="222222"/>
          <w:sz w:val="22"/>
          <w:szCs w:val="22"/>
        </w:rPr>
        <w:t xml:space="preserve">This case study diagnoses why average patient length of stay varies across a multi-hospital system, using a de-identified operational dataset (Kaggle: AV Healthcare Analytics II, 318,438 admission records across 32 hospitals). The objective was operational, not predictive: identify where bed-days are being lost to longer-than-typical stays, rule out innocent explanations, and quantify the opportunity.</w:t>
      </w:r>
    </w:p>
    <w:p>
      <w:pPr>
        <w:spacing w:after="160" w:line="300"/>
      </w:pPr>
      <w:r>
        <w:rPr>
          <w:color w:val="222222"/>
          <w:sz w:val="22"/>
          <w:szCs w:val="22"/>
        </w:rPr>
        <w:t xml:space="preserve">The analysis followed a structured discovery-diagnose-recommend process (the “3-Breath Method”: establish the KPI, test WHO/WHERE/WHEN lenses, and state a specific, quantified recommendation). Three analytical lenses were tested — hospital, ward type, and department — with hospital showing the largest performance spread (16 days between best and worst).</w:t>
      </w:r>
    </w:p>
    <w:p>
      <w:pPr>
        <w:spacing w:after="160" w:line="300"/>
      </w:pPr>
      <w:r>
        <w:rPr>
          <w:color w:val="222222"/>
          <w:sz w:val="22"/>
          <w:szCs w:val="22"/>
        </w:rPr>
        <w:t xml:space="preserve">The single largest concentration of the problem was identified at the intersection of Hospital 2 and Ward S, and validated using two independent checks: a severity/case-mix comparison (ruling out “they just get sicker patients” as an excuse) and an admission-type breakdown (correcting an initial stakeholder assumption about ER congestion).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1F2A44" w:val="clear"/>
            <w:tcMar>
              <w:top w:type="dxa" w:w="120"/>
              <w:left w:type="dxa" w:w="180"/>
              <w:bottom w:type="dxa" w:w="120"/>
              <w:right w:type="dxa" w:w="180"/>
            </w:tcMar>
          </w:tcPr>
          <w:p>
            <w:r>
              <w:rPr>
                <w:b/>
                <w:bCs/>
                <w:color w:val="FFFFFF"/>
                <w:sz w:val="21"/>
                <w:szCs w:val="21"/>
              </w:rPr>
              <w:t xml:space="preserve">Metric</w:t>
            </w:r>
          </w:p>
        </w:tc>
        <w:tc>
          <w:tcPr>
            <w:tcW w:type="dxa" w:w="4500"/>
            <w:shd w:fill="1F2A44" w:val="clear"/>
            <w:tcMar>
              <w:top w:type="dxa" w:w="120"/>
              <w:left w:type="dxa" w:w="180"/>
              <w:bottom w:type="dxa" w:w="120"/>
              <w:right w:type="dxa" w:w="180"/>
            </w:tcMar>
          </w:tcPr>
          <w:p>
            <w:r>
              <w:rPr>
                <w:b/>
                <w:bCs/>
                <w:color w:val="FFFFFF"/>
                <w:sz w:val="21"/>
                <w:szCs w:val="21"/>
              </w:rPr>
              <w:t xml:space="preserve">Value</w:t>
            </w:r>
          </w:p>
        </w:tc>
      </w:tr>
      <w:tr>
        <w:tc>
          <w:tcPr>
            <w:tcW w:type="dxa" w:w="4500"/>
            <w:shd w:fill="FFFFFF" w:val="clear"/>
            <w:tcMar>
              <w:top w:type="dxa" w:w="120"/>
              <w:left w:type="dxa" w:w="180"/>
              <w:bottom w:type="dxa" w:w="120"/>
              <w:right w:type="dxa" w:w="180"/>
            </w:tcMar>
          </w:tcPr>
          <w:p>
            <w:r>
              <w:rPr>
                <w:b w:val="false"/>
                <w:bCs w:val="false"/>
                <w:color w:val="222222"/>
                <w:sz w:val="21"/>
                <w:szCs w:val="21"/>
              </w:rPr>
              <w:t xml:space="preserve">System-wide average length of stay</w:t>
            </w:r>
          </w:p>
        </w:tc>
        <w:tc>
          <w:tcPr>
            <w:tcW w:type="dxa" w:w="4500"/>
            <w:shd w:fill="FFFFFF" w:val="clear"/>
            <w:tcMar>
              <w:top w:type="dxa" w:w="120"/>
              <w:left w:type="dxa" w:w="180"/>
              <w:bottom w:type="dxa" w:w="120"/>
              <w:right w:type="dxa" w:w="180"/>
            </w:tcMar>
          </w:tcPr>
          <w:p>
            <w:r>
              <w:rPr>
                <w:b w:val="false"/>
                <w:bCs w:val="false"/>
                <w:color w:val="222222"/>
                <w:sz w:val="21"/>
                <w:szCs w:val="21"/>
              </w:rPr>
              <w:t xml:space="preserve">31.86 days</w:t>
            </w:r>
          </w:p>
        </w:tc>
      </w:tr>
      <w:tr>
        <w:tc>
          <w:tcPr>
            <w:tcW w:type="dxa" w:w="4500"/>
            <w:shd w:fill="F5F7FB" w:val="clear"/>
            <w:tcMar>
              <w:top w:type="dxa" w:w="120"/>
              <w:left w:type="dxa" w:w="180"/>
              <w:bottom w:type="dxa" w:w="120"/>
              <w:right w:type="dxa" w:w="180"/>
            </w:tcMar>
          </w:tcPr>
          <w:p>
            <w:r>
              <w:rPr>
                <w:b w:val="false"/>
                <w:bCs w:val="false"/>
                <w:color w:val="222222"/>
                <w:sz w:val="21"/>
                <w:szCs w:val="21"/>
              </w:rPr>
              <w:t xml:space="preserve">Hospital with worst gap vs. system average</w:t>
            </w:r>
          </w:p>
        </w:tc>
        <w:tc>
          <w:tcPr>
            <w:tcW w:type="dxa" w:w="4500"/>
            <w:shd w:fill="F5F7FB" w:val="clear"/>
            <w:tcMar>
              <w:top w:type="dxa" w:w="120"/>
              <w:left w:type="dxa" w:w="180"/>
              <w:bottom w:type="dxa" w:w="120"/>
              <w:right w:type="dxa" w:w="180"/>
            </w:tcMar>
          </w:tcPr>
          <w:p>
            <w:r>
              <w:rPr>
                <w:b w:val="false"/>
                <w:bCs w:val="false"/>
                <w:color w:val="222222"/>
                <w:sz w:val="21"/>
                <w:szCs w:val="21"/>
              </w:rPr>
              <w:t xml:space="preserve">Hospital 2 (+7.94 days)</w:t>
            </w:r>
          </w:p>
        </w:tc>
      </w:tr>
      <w:tr>
        <w:tc>
          <w:tcPr>
            <w:tcW w:type="dxa" w:w="4500"/>
            <w:shd w:fill="FFFFFF" w:val="clear"/>
            <w:tcMar>
              <w:top w:type="dxa" w:w="120"/>
              <w:left w:type="dxa" w:w="180"/>
              <w:bottom w:type="dxa" w:w="120"/>
              <w:right w:type="dxa" w:w="180"/>
            </w:tcMar>
          </w:tcPr>
          <w:p>
            <w:r>
              <w:rPr>
                <w:b w:val="false"/>
                <w:bCs w:val="false"/>
                <w:color w:val="222222"/>
                <w:sz w:val="21"/>
                <w:szCs w:val="21"/>
              </w:rPr>
              <w:t xml:space="preserve">Ward type with worst gap vs. system average</w:t>
            </w:r>
          </w:p>
        </w:tc>
        <w:tc>
          <w:tcPr>
            <w:tcW w:type="dxa" w:w="4500"/>
            <w:shd w:fill="FFFFFF" w:val="clear"/>
            <w:tcMar>
              <w:top w:type="dxa" w:w="120"/>
              <w:left w:type="dxa" w:w="180"/>
              <w:bottom w:type="dxa" w:w="120"/>
              <w:right w:type="dxa" w:w="180"/>
            </w:tcMar>
          </w:tcPr>
          <w:p>
            <w:r>
              <w:rPr>
                <w:b w:val="false"/>
                <w:bCs w:val="false"/>
                <w:color w:val="222222"/>
                <w:sz w:val="21"/>
                <w:szCs w:val="21"/>
              </w:rPr>
              <w:t xml:space="preserve">Ward S (+6.59 days)</w:t>
            </w:r>
          </w:p>
        </w:tc>
      </w:tr>
      <w:tr>
        <w:tc>
          <w:tcPr>
            <w:tcW w:type="dxa" w:w="4500"/>
            <w:shd w:fill="F5F7FB" w:val="clear"/>
            <w:tcMar>
              <w:top w:type="dxa" w:w="120"/>
              <w:left w:type="dxa" w:w="180"/>
              <w:bottom w:type="dxa" w:w="120"/>
              <w:right w:type="dxa" w:w="180"/>
            </w:tcMar>
          </w:tcPr>
          <w:p>
            <w:r>
              <w:rPr>
                <w:b w:val="false"/>
                <w:bCs w:val="false"/>
                <w:color w:val="222222"/>
                <w:sz w:val="21"/>
                <w:szCs w:val="21"/>
              </w:rPr>
              <w:t xml:space="preserve">Combined hotspot: Hospital 2 + Ward S</w:t>
            </w:r>
          </w:p>
        </w:tc>
        <w:tc>
          <w:tcPr>
            <w:tcW w:type="dxa" w:w="4500"/>
            <w:shd w:fill="F5F7FB" w:val="clear"/>
            <w:tcMar>
              <w:top w:type="dxa" w:w="120"/>
              <w:left w:type="dxa" w:w="180"/>
              <w:bottom w:type="dxa" w:w="120"/>
              <w:right w:type="dxa" w:w="180"/>
            </w:tcMar>
          </w:tcPr>
          <w:p>
            <w:r>
              <w:rPr>
                <w:b w:val="false"/>
                <w:bCs w:val="false"/>
                <w:color w:val="222222"/>
                <w:sz w:val="21"/>
                <w:szCs w:val="21"/>
              </w:rPr>
              <w:t xml:space="preserve">42 days avg (+10.27 gap)</w:t>
            </w:r>
          </w:p>
        </w:tc>
      </w:tr>
      <w:tr>
        <w:tc>
          <w:tcPr>
            <w:tcW w:type="dxa" w:w="4500"/>
            <w:shd w:fill="FFFFFF" w:val="clear"/>
            <w:tcMar>
              <w:top w:type="dxa" w:w="120"/>
              <w:left w:type="dxa" w:w="180"/>
              <w:bottom w:type="dxa" w:w="120"/>
              <w:right w:type="dxa" w:w="180"/>
            </w:tcMar>
          </w:tcPr>
          <w:p>
            <w:r>
              <w:rPr>
                <w:b w:val="false"/>
                <w:bCs w:val="false"/>
                <w:color w:val="222222"/>
                <w:sz w:val="21"/>
                <w:szCs w:val="21"/>
              </w:rPr>
              <w:t xml:space="preserve">Annual case volume at hotspot</w:t>
            </w:r>
          </w:p>
        </w:tc>
        <w:tc>
          <w:tcPr>
            <w:tcW w:type="dxa" w:w="4500"/>
            <w:shd w:fill="FFFFFF" w:val="clear"/>
            <w:tcMar>
              <w:top w:type="dxa" w:w="120"/>
              <w:left w:type="dxa" w:w="180"/>
              <w:bottom w:type="dxa" w:w="120"/>
              <w:right w:type="dxa" w:w="180"/>
            </w:tcMar>
          </w:tcPr>
          <w:p>
            <w:r>
              <w:rPr>
                <w:b w:val="false"/>
                <w:bCs w:val="false"/>
                <w:color w:val="222222"/>
                <w:sz w:val="21"/>
                <w:szCs w:val="21"/>
              </w:rPr>
              <w:t xml:space="preserve">~4,300 cases</w:t>
            </w:r>
          </w:p>
        </w:tc>
      </w:tr>
      <w:tr>
        <w:tc>
          <w:tcPr>
            <w:tcW w:type="dxa" w:w="4500"/>
            <w:shd w:fill="F5F7FB" w:val="clear"/>
            <w:tcMar>
              <w:top w:type="dxa" w:w="120"/>
              <w:left w:type="dxa" w:w="180"/>
              <w:bottom w:type="dxa" w:w="120"/>
              <w:right w:type="dxa" w:w="180"/>
            </w:tcMar>
          </w:tcPr>
          <w:p>
            <w:r>
              <w:rPr>
                <w:b w:val="false"/>
                <w:bCs w:val="false"/>
                <w:color w:val="222222"/>
                <w:sz w:val="21"/>
                <w:szCs w:val="21"/>
              </w:rPr>
              <w:t xml:space="preserve">Estimated recoverable bed-days/year (conservative)</w:t>
            </w:r>
          </w:p>
        </w:tc>
        <w:tc>
          <w:tcPr>
            <w:tcW w:type="dxa" w:w="4500"/>
            <w:shd w:fill="F5F7FB" w:val="clear"/>
            <w:tcMar>
              <w:top w:type="dxa" w:w="120"/>
              <w:left w:type="dxa" w:w="180"/>
              <w:bottom w:type="dxa" w:w="120"/>
              <w:right w:type="dxa" w:w="180"/>
            </w:tcMar>
          </w:tcPr>
          <w:p>
            <w:r>
              <w:rPr>
                <w:b w:val="false"/>
                <w:bCs w:val="false"/>
                <w:color w:val="222222"/>
                <w:sz w:val="21"/>
                <w:szCs w:val="21"/>
              </w:rPr>
              <w:t xml:space="preserve">~22,100</w:t>
            </w:r>
          </w:p>
        </w:tc>
      </w:tr>
    </w:tbl>
    <w:p>
      <w:pPr>
        <w:pStyle w:val="Heading1"/>
        <w:spacing w:after="160" w:before="360"/>
      </w:pPr>
      <w:r>
        <w:rPr>
          <w:b/>
          <w:bCs/>
          <w:color w:val="1F2A44"/>
          <w:sz w:val="30"/>
          <w:szCs w:val="30"/>
        </w:rPr>
        <w:t xml:space="preserve">2. Discovery: Framing the Business Problem</w:t>
      </w:r>
    </w:p>
    <w:p>
      <w:pPr>
        <w:spacing w:after="160" w:line="300"/>
      </w:pPr>
      <w:r>
        <w:rPr>
          <w:color w:val="222222"/>
          <w:sz w:val="22"/>
          <w:szCs w:val="22"/>
        </w:rPr>
        <w:t xml:space="preserve">Per the discovery interview, the sponsoring stakeholder (Hospital Operations) did not have a tracked KPI at the outset — only a symptom: recurring ER backups attributed to insufficient ward capacity. Discovery established the following scope, which shaped every downstream decision:</w:t>
      </w:r>
    </w:p>
    <w:p>
      <w:pPr>
        <w:pStyle w:val="ListParagraph"/>
        <w:numPr>
          <w:ilvl w:val="0"/>
          <w:numId w:val="2"/>
        </w:numPr>
        <w:spacing w:after="90" w:line="280"/>
      </w:pPr>
      <w:r>
        <w:rPr>
          <w:b w:val="false"/>
          <w:bCs w:val="false"/>
          <w:sz w:val="22"/>
          <w:szCs w:val="22"/>
        </w:rPr>
        <w:t xml:space="preserve">Primary KPI: Average Length of Stay, benchmarked against system-wide performance (no external industry benchmark was confirmed, so all comparisons are internal, hospital-vs-hospital).</w:t>
      </w:r>
    </w:p>
    <w:p>
      <w:pPr>
        <w:pStyle w:val="ListParagraph"/>
        <w:numPr>
          <w:ilvl w:val="0"/>
          <w:numId w:val="2"/>
        </w:numPr>
        <w:spacing w:after="90" w:line="280"/>
      </w:pPr>
      <w:r>
        <w:rPr>
          <w:b w:val="false"/>
          <w:bCs w:val="false"/>
          <w:sz w:val="22"/>
          <w:szCs w:val="22"/>
        </w:rPr>
        <w:t xml:space="preserve">In scope: bed turnover / capacity efficiency, broken down by hospital, department, and ward type.</w:t>
      </w:r>
    </w:p>
    <w:p>
      <w:pPr>
        <w:pStyle w:val="ListParagraph"/>
        <w:numPr>
          <w:ilvl w:val="0"/>
          <w:numId w:val="2"/>
        </w:numPr>
        <w:spacing w:after="90" w:line="280"/>
      </w:pPr>
      <w:r>
        <w:rPr>
          <w:b w:val="false"/>
          <w:bCs w:val="false"/>
          <w:sz w:val="22"/>
          <w:szCs w:val="22"/>
        </w:rPr>
        <w:t xml:space="preserve">Explicitly out of scope: cost/revenue analysis (Admission_Deposit definition unconfirmed by Finance) and readmission rate (owned by a separate team).</w:t>
      </w:r>
    </w:p>
    <w:p>
      <w:pPr>
        <w:pStyle w:val="ListParagraph"/>
        <w:numPr>
          <w:ilvl w:val="0"/>
          <w:numId w:val="2"/>
        </w:numPr>
        <w:spacing w:after="90" w:line="280"/>
      </w:pPr>
      <w:r>
        <w:rPr>
          <w:b w:val="false"/>
          <w:bCs w:val="false"/>
          <w:sz w:val="22"/>
          <w:szCs w:val="22"/>
        </w:rPr>
        <w:t xml:space="preserve">Action authority: Operations can act directly on staffing, bed/ward reallocation, and discharge process changes within a hospital; cross-hospital or cross-region changes require escalation.</w:t>
      </w:r>
    </w:p>
    <w:p>
      <w:pPr>
        <w:spacing w:after="160" w:line="300"/>
      </w:pPr>
      <w:r>
        <w:rPr>
          <w:color w:val="222222"/>
          <w:sz w:val="22"/>
          <w:szCs w:val="22"/>
        </w:rPr>
        <w:t xml:space="preserve">This scoping is the reason the analysis below focuses entirely on operational throughput rather than financial impact — a deliberate choice to keep the recommendation inside the stakeholder’s actual authority to act.</w:t>
      </w:r>
    </w:p>
    <w:p>
      <w:pPr>
        <w:pStyle w:val="Heading1"/>
        <w:spacing w:after="160" w:before="360"/>
      </w:pPr>
      <w:r>
        <w:rPr>
          <w:b/>
          <w:bCs/>
          <w:color w:val="1F2A44"/>
          <w:sz w:val="30"/>
          <w:szCs w:val="30"/>
        </w:rPr>
        <w:t xml:space="preserve">3. Data Preparation</w:t>
      </w:r>
    </w:p>
    <w:p>
      <w:pPr>
        <w:spacing w:after="160" w:line="300"/>
      </w:pPr>
      <w:r>
        <w:rPr>
          <w:color w:val="222222"/>
          <w:sz w:val="22"/>
          <w:szCs w:val="22"/>
        </w:rPr>
        <w:t xml:space="preserve">Source data required targeted cleaning before it could support reliable aggregation:</w:t>
      </w:r>
    </w:p>
    <w:p>
      <w:pPr>
        <w:pStyle w:val="ListParagraph"/>
        <w:numPr>
          <w:ilvl w:val="0"/>
          <w:numId w:val="2"/>
        </w:numPr>
        <w:spacing w:after="90" w:line="280"/>
      </w:pPr>
      <w:r>
        <w:rPr>
          <w:b w:val="false"/>
          <w:bCs w:val="false"/>
          <w:sz w:val="22"/>
          <w:szCs w:val="22"/>
        </w:rPr>
        <w:t xml:space="preserve">Bucketed fields (Stay, Age) were converted to numeric midpoints (e.g., “11–20” → 15) to allow averaging, with the open-ended “More than 100 Days” bucket conservatively capped at 100 and flagged as an estimate.</w:t>
      </w:r>
    </w:p>
    <w:p>
      <w:pPr>
        <w:pStyle w:val="ListParagraph"/>
        <w:numPr>
          <w:ilvl w:val="0"/>
          <w:numId w:val="2"/>
        </w:numPr>
        <w:spacing w:after="90" w:line="280"/>
      </w:pPr>
      <w:r>
        <w:rPr>
          <w:b w:val="false"/>
          <w:bCs w:val="false"/>
          <w:sz w:val="22"/>
          <w:szCs w:val="22"/>
        </w:rPr>
        <w:t xml:space="preserve">A data-entry corruption was identified and corrected: the bucket label “11–20” had been auto-converted to the date-like string “20-Nov” in both the Stay and Age fields — a common spreadsheet/export artifact that would have silently distorted results if left unaddressed.</w:t>
      </w:r>
    </w:p>
    <w:p>
      <w:pPr>
        <w:pStyle w:val="ListParagraph"/>
        <w:numPr>
          <w:ilvl w:val="0"/>
          <w:numId w:val="2"/>
        </w:numPr>
        <w:spacing w:after="90" w:line="280"/>
      </w:pPr>
      <w:r>
        <w:rPr>
          <w:b w:val="false"/>
          <w:bCs w:val="false"/>
          <w:sz w:val="22"/>
          <w:szCs w:val="22"/>
        </w:rPr>
        <w:t xml:space="preserve">Rows with missing Bed Grade (113) or City_Code_Patient (4,532) were removed — a combined 1.5% of records — rather than imputed, since both were low-volume and central enough to the analysis that imputation risked introducing bias.</w:t>
      </w:r>
    </w:p>
    <w:p>
      <w:pPr>
        <w:pStyle w:val="ListParagraph"/>
        <w:numPr>
          <w:ilvl w:val="0"/>
          <w:numId w:val="2"/>
        </w:numPr>
        <w:spacing w:after="90" w:line="280"/>
      </w:pPr>
      <w:r>
        <w:rPr>
          <w:b w:val="false"/>
          <w:bCs w:val="false"/>
          <w:sz w:val="22"/>
          <w:szCs w:val="22"/>
        </w:rPr>
        <w:t xml:space="preserve">A missing Department dimension was identified mid-build and added retroactively to preserve department-level reporting.</w:t>
      </w:r>
    </w:p>
    <w:p>
      <w:pPr>
        <w:spacing w:after="160" w:line="300"/>
      </w:pPr>
      <w:r>
        <w:rPr>
          <w:color w:val="222222"/>
          <w:sz w:val="22"/>
          <w:szCs w:val="22"/>
        </w:rPr>
        <w:t xml:space="preserve">Net data loss from cleaning: approximately 1.5% of records (313,793 of 318,438 retained).</w:t>
      </w:r>
    </w:p>
    <w:p>
      <w:pPr>
        <w:pStyle w:val="Heading1"/>
        <w:spacing w:after="160" w:before="360"/>
      </w:pPr>
      <w:r>
        <w:rPr>
          <w:b/>
          <w:bCs/>
          <w:color w:val="1F2A44"/>
          <w:sz w:val="30"/>
          <w:szCs w:val="30"/>
        </w:rPr>
        <w:t xml:space="preserve">4. Diagnostic Analysis</w:t>
      </w:r>
    </w:p>
    <w:p>
      <w:pPr>
        <w:pStyle w:val="Heading2"/>
        <w:spacing w:after="120" w:before="260"/>
      </w:pPr>
      <w:r>
        <w:rPr>
          <w:b/>
          <w:bCs/>
          <w:color w:val="2E5EAA"/>
          <w:sz w:val="24"/>
          <w:szCs w:val="24"/>
        </w:rPr>
        <w:t xml:space="preserve">4.1 Testing Three Lenses (WHO / WHERE)</w:t>
      </w:r>
    </w:p>
    <w:p>
      <w:pPr>
        <w:spacing w:after="160" w:line="300"/>
      </w:pPr>
      <w:r>
        <w:rPr>
          <w:color w:val="222222"/>
          <w:sz w:val="22"/>
          <w:szCs w:val="22"/>
        </w:rPr>
        <w:t xml:space="preserve">Three dimensions were tested independently to identify which showed the largest performance spread, using SQL Server window functions (DENSE_RANK, AVG() with variance against a fixed system-wide benchmark):</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1F2A44" w:val="clear"/>
            <w:tcMar>
              <w:top w:type="dxa" w:w="120"/>
              <w:left w:type="dxa" w:w="180"/>
              <w:bottom w:type="dxa" w:w="120"/>
              <w:right w:type="dxa" w:w="180"/>
            </w:tcMar>
          </w:tcPr>
          <w:p>
            <w:r>
              <w:rPr>
                <w:b/>
                <w:bCs/>
                <w:color w:val="FFFFFF"/>
                <w:sz w:val="21"/>
                <w:szCs w:val="21"/>
              </w:rPr>
              <w:t xml:space="preserve">Lens</w:t>
            </w:r>
          </w:p>
        </w:tc>
        <w:tc>
          <w:tcPr>
            <w:tcW w:type="dxa" w:w="4500"/>
            <w:shd w:fill="1F2A44" w:val="clear"/>
            <w:tcMar>
              <w:top w:type="dxa" w:w="120"/>
              <w:left w:type="dxa" w:w="180"/>
              <w:bottom w:type="dxa" w:w="120"/>
              <w:right w:type="dxa" w:w="180"/>
            </w:tcMar>
          </w:tcPr>
          <w:p>
            <w:r>
              <w:rPr>
                <w:b/>
                <w:bCs/>
                <w:color w:val="FFFFFF"/>
                <w:sz w:val="21"/>
                <w:szCs w:val="21"/>
              </w:rPr>
              <w:t xml:space="preserve">Spread (best to worst)</w:t>
            </w:r>
          </w:p>
        </w:tc>
      </w:tr>
      <w:tr>
        <w:tc>
          <w:tcPr>
            <w:tcW w:type="dxa" w:w="4500"/>
            <w:shd w:fill="FFFFFF" w:val="clear"/>
            <w:tcMar>
              <w:top w:type="dxa" w:w="120"/>
              <w:left w:type="dxa" w:w="180"/>
              <w:bottom w:type="dxa" w:w="120"/>
              <w:right w:type="dxa" w:w="180"/>
            </w:tcMar>
          </w:tcPr>
          <w:p>
            <w:r>
              <w:rPr>
                <w:b w:val="false"/>
                <w:bCs w:val="false"/>
                <w:color w:val="222222"/>
                <w:sz w:val="21"/>
                <w:szCs w:val="21"/>
              </w:rPr>
              <w:t xml:space="preserve">Hospital</w:t>
            </w:r>
          </w:p>
        </w:tc>
        <w:tc>
          <w:tcPr>
            <w:tcW w:type="dxa" w:w="4500"/>
            <w:shd w:fill="FFFFFF" w:val="clear"/>
            <w:tcMar>
              <w:top w:type="dxa" w:w="120"/>
              <w:left w:type="dxa" w:w="180"/>
              <w:bottom w:type="dxa" w:w="120"/>
              <w:right w:type="dxa" w:w="180"/>
            </w:tcMar>
          </w:tcPr>
          <w:p>
            <w:r>
              <w:rPr>
                <w:b w:val="false"/>
                <w:bCs w:val="false"/>
                <w:color w:val="222222"/>
                <w:sz w:val="21"/>
                <w:szCs w:val="21"/>
              </w:rPr>
              <w:t xml:space="preserve">16 days</w:t>
            </w:r>
          </w:p>
        </w:tc>
      </w:tr>
      <w:tr>
        <w:tc>
          <w:tcPr>
            <w:tcW w:type="dxa" w:w="4500"/>
            <w:shd w:fill="F5F7FB" w:val="clear"/>
            <w:tcMar>
              <w:top w:type="dxa" w:w="120"/>
              <w:left w:type="dxa" w:w="180"/>
              <w:bottom w:type="dxa" w:w="120"/>
              <w:right w:type="dxa" w:w="180"/>
            </w:tcMar>
          </w:tcPr>
          <w:p>
            <w:r>
              <w:rPr>
                <w:b w:val="false"/>
                <w:bCs w:val="false"/>
                <w:color w:val="222222"/>
                <w:sz w:val="21"/>
                <w:szCs w:val="21"/>
              </w:rPr>
              <w:t xml:space="preserve">Ward Type</w:t>
            </w:r>
          </w:p>
        </w:tc>
        <w:tc>
          <w:tcPr>
            <w:tcW w:type="dxa" w:w="4500"/>
            <w:shd w:fill="F5F7FB" w:val="clear"/>
            <w:tcMar>
              <w:top w:type="dxa" w:w="120"/>
              <w:left w:type="dxa" w:w="180"/>
              <w:bottom w:type="dxa" w:w="120"/>
              <w:right w:type="dxa" w:w="180"/>
            </w:tcMar>
          </w:tcPr>
          <w:p>
            <w:r>
              <w:rPr>
                <w:b w:val="false"/>
                <w:bCs w:val="false"/>
                <w:color w:val="222222"/>
                <w:sz w:val="21"/>
                <w:szCs w:val="21"/>
              </w:rPr>
              <w:t xml:space="preserve">13 days (excluding a 9-case outlier)</w:t>
            </w:r>
          </w:p>
        </w:tc>
      </w:tr>
      <w:tr>
        <w:tc>
          <w:tcPr>
            <w:tcW w:type="dxa" w:w="4500"/>
            <w:shd w:fill="FFFFFF" w:val="clear"/>
            <w:tcMar>
              <w:top w:type="dxa" w:w="120"/>
              <w:left w:type="dxa" w:w="180"/>
              <w:bottom w:type="dxa" w:w="120"/>
              <w:right w:type="dxa" w:w="180"/>
            </w:tcMar>
          </w:tcPr>
          <w:p>
            <w:r>
              <w:rPr>
                <w:b w:val="false"/>
                <w:bCs w:val="false"/>
                <w:color w:val="222222"/>
                <w:sz w:val="21"/>
                <w:szCs w:val="21"/>
              </w:rPr>
              <w:t xml:space="preserve">Department</w:t>
            </w:r>
          </w:p>
        </w:tc>
        <w:tc>
          <w:tcPr>
            <w:tcW w:type="dxa" w:w="4500"/>
            <w:shd w:fill="FFFFFF" w:val="clear"/>
            <w:tcMar>
              <w:top w:type="dxa" w:w="120"/>
              <w:left w:type="dxa" w:w="180"/>
              <w:bottom w:type="dxa" w:w="120"/>
              <w:right w:type="dxa" w:w="180"/>
            </w:tcMar>
          </w:tcPr>
          <w:p>
            <w:r>
              <w:rPr>
                <w:b w:val="false"/>
                <w:bCs w:val="false"/>
                <w:color w:val="222222"/>
                <w:sz w:val="21"/>
                <w:szCs w:val="21"/>
              </w:rPr>
              <w:t xml:space="preserve">8 days</w:t>
            </w:r>
          </w:p>
        </w:tc>
      </w:tr>
    </w:tbl>
    <w:p>
      <w:pPr>
        <w:spacing w:after="160" w:line="300"/>
      </w:pPr>
      <w:r>
        <w:rPr>
          <w:color w:val="222222"/>
          <w:sz w:val="22"/>
          <w:szCs w:val="22"/>
        </w:rPr>
        <w:t xml:space="preserve">Hospital showed the largest spread, making it the primary lens. Combining the two strongest signals — Hospital 2 and Ward S — produced a gap of +10.27 days against the system average across ~4,300 annual cases, larger than either factor alone. This compounding pattern (two moderate signals intersecting into one strong signal) is the core diagnostic finding of the project.</w:t>
      </w:r>
    </w:p>
    <w:p>
      <w:pPr>
        <w:pStyle w:val="Heading2"/>
        <w:spacing w:after="120" w:before="260"/>
      </w:pPr>
      <w:r>
        <w:rPr>
          <w:b/>
          <w:bCs/>
          <w:color w:val="2E5EAA"/>
          <w:sz w:val="24"/>
          <w:szCs w:val="24"/>
        </w:rPr>
        <w:t xml:space="preserve">4.2 Ruling Out Case-Mix (Severity of Illness)</w:t>
      </w:r>
    </w:p>
    <w:p>
      <w:pPr>
        <w:spacing w:after="160" w:line="300"/>
      </w:pPr>
      <w:r>
        <w:rPr>
          <w:color w:val="222222"/>
          <w:sz w:val="22"/>
          <w:szCs w:val="22"/>
        </w:rPr>
        <w:t xml:space="preserve">A natural alternative explanation is that Ward S simply treats sicker patients, who would be expected to stay longer regardless of operational efficiency. This was tested directly by comparing Ward S’s average stay against the system-wide average for the same severity tier: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250"/>
        <w:gridCol w:w="2250"/>
        <w:gridCol w:w="2250"/>
        <w:gridCol w:w="2250"/>
      </w:tblGrid>
      <w:tr>
        <w:tc>
          <w:tcPr>
            <w:tcW w:type="dxa" w:w="2250"/>
            <w:shd w:fill="1F2A44" w:val="clear"/>
            <w:tcMar>
              <w:top w:type="dxa" w:w="120"/>
              <w:left w:type="dxa" w:w="180"/>
              <w:bottom w:type="dxa" w:w="120"/>
              <w:right w:type="dxa" w:w="180"/>
            </w:tcMar>
          </w:tcPr>
          <w:p>
            <w:r>
              <w:rPr>
                <w:b/>
                <w:bCs/>
                <w:color w:val="FFFFFF"/>
                <w:sz w:val="21"/>
                <w:szCs w:val="21"/>
              </w:rPr>
              <w:t xml:space="preserve">Severity Tier</w:t>
            </w:r>
          </w:p>
        </w:tc>
        <w:tc>
          <w:tcPr>
            <w:tcW w:type="dxa" w:w="2250"/>
            <w:shd w:fill="1F2A44" w:val="clear"/>
            <w:tcMar>
              <w:top w:type="dxa" w:w="120"/>
              <w:left w:type="dxa" w:w="180"/>
              <w:bottom w:type="dxa" w:w="120"/>
              <w:right w:type="dxa" w:w="180"/>
            </w:tcMar>
          </w:tcPr>
          <w:p>
            <w:r>
              <w:rPr>
                <w:b/>
                <w:bCs/>
                <w:color w:val="FFFFFF"/>
                <w:sz w:val="21"/>
                <w:szCs w:val="21"/>
              </w:rPr>
              <w:t xml:space="preserve">Ward S Avg</w:t>
            </w:r>
          </w:p>
        </w:tc>
        <w:tc>
          <w:tcPr>
            <w:tcW w:type="dxa" w:w="2250"/>
            <w:shd w:fill="1F2A44" w:val="clear"/>
            <w:tcMar>
              <w:top w:type="dxa" w:w="120"/>
              <w:left w:type="dxa" w:w="180"/>
              <w:bottom w:type="dxa" w:w="120"/>
              <w:right w:type="dxa" w:w="180"/>
            </w:tcMar>
          </w:tcPr>
          <w:p>
            <w:r>
              <w:rPr>
                <w:b/>
                <w:bCs/>
                <w:color w:val="FFFFFF"/>
                <w:sz w:val="21"/>
                <w:szCs w:val="21"/>
              </w:rPr>
              <w:t xml:space="preserve">System Avg (same tier)</w:t>
            </w:r>
          </w:p>
        </w:tc>
        <w:tc>
          <w:tcPr>
            <w:tcW w:type="dxa" w:w="2250"/>
            <w:shd w:fill="1F2A44" w:val="clear"/>
            <w:tcMar>
              <w:top w:type="dxa" w:w="120"/>
              <w:left w:type="dxa" w:w="180"/>
              <w:bottom w:type="dxa" w:w="120"/>
              <w:right w:type="dxa" w:w="180"/>
            </w:tcMar>
          </w:tcPr>
          <w:p>
            <w:r>
              <w:rPr>
                <w:b/>
                <w:bCs/>
                <w:color w:val="FFFFFF"/>
                <w:sz w:val="21"/>
                <w:szCs w:val="21"/>
              </w:rPr>
              <w:t xml:space="preserve">Gap</w:t>
            </w:r>
          </w:p>
        </w:tc>
      </w:tr>
      <w:tr>
        <w:tc>
          <w:tcPr>
            <w:tcW w:type="dxa" w:w="2250"/>
            <w:shd w:fill="FFFFFF" w:val="clear"/>
            <w:tcMar>
              <w:top w:type="dxa" w:w="120"/>
              <w:left w:type="dxa" w:w="180"/>
              <w:bottom w:type="dxa" w:w="120"/>
              <w:right w:type="dxa" w:w="180"/>
            </w:tcMar>
          </w:tcPr>
          <w:p>
            <w:r>
              <w:rPr>
                <w:b w:val="false"/>
                <w:bCs w:val="false"/>
                <w:color w:val="222222"/>
                <w:sz w:val="21"/>
                <w:szCs w:val="21"/>
              </w:rPr>
              <w:t xml:space="preserve">Extreme</w:t>
            </w:r>
          </w:p>
        </w:tc>
        <w:tc>
          <w:tcPr>
            <w:tcW w:type="dxa" w:w="2250"/>
            <w:shd w:fill="FFFFFF" w:val="clear"/>
            <w:tcMar>
              <w:top w:type="dxa" w:w="120"/>
              <w:left w:type="dxa" w:w="180"/>
              <w:bottom w:type="dxa" w:w="120"/>
              <w:right w:type="dxa" w:w="180"/>
            </w:tcMar>
          </w:tcPr>
          <w:p>
            <w:r>
              <w:rPr>
                <w:b w:val="false"/>
                <w:bCs w:val="false"/>
                <w:color w:val="222222"/>
                <w:sz w:val="21"/>
                <w:szCs w:val="21"/>
              </w:rPr>
              <w:t xml:space="preserve">49 days</w:t>
            </w:r>
          </w:p>
        </w:tc>
        <w:tc>
          <w:tcPr>
            <w:tcW w:type="dxa" w:w="2250"/>
            <w:shd w:fill="FFFFFF" w:val="clear"/>
            <w:tcMar>
              <w:top w:type="dxa" w:w="120"/>
              <w:left w:type="dxa" w:w="180"/>
              <w:bottom w:type="dxa" w:w="120"/>
              <w:right w:type="dxa" w:w="180"/>
            </w:tcMar>
          </w:tcPr>
          <w:p>
            <w:r>
              <w:rPr>
                <w:b w:val="false"/>
                <w:bCs w:val="false"/>
                <w:color w:val="222222"/>
                <w:sz w:val="21"/>
                <w:szCs w:val="21"/>
              </w:rPr>
              <w:t xml:space="preserve">36 days</w:t>
            </w:r>
          </w:p>
        </w:tc>
        <w:tc>
          <w:tcPr>
            <w:tcW w:type="dxa" w:w="2250"/>
            <w:shd w:fill="FFFFFF" w:val="clear"/>
            <w:tcMar>
              <w:top w:type="dxa" w:w="120"/>
              <w:left w:type="dxa" w:w="180"/>
              <w:bottom w:type="dxa" w:w="120"/>
              <w:right w:type="dxa" w:w="180"/>
            </w:tcMar>
          </w:tcPr>
          <w:p>
            <w:r>
              <w:rPr>
                <w:b w:val="false"/>
                <w:bCs w:val="false"/>
                <w:color w:val="222222"/>
                <w:sz w:val="21"/>
                <w:szCs w:val="21"/>
              </w:rPr>
              <w:t xml:space="preserve">+13</w:t>
            </w:r>
          </w:p>
        </w:tc>
      </w:tr>
      <w:tr>
        <w:tc>
          <w:tcPr>
            <w:tcW w:type="dxa" w:w="2250"/>
            <w:shd w:fill="F5F7FB" w:val="clear"/>
            <w:tcMar>
              <w:top w:type="dxa" w:w="120"/>
              <w:left w:type="dxa" w:w="180"/>
              <w:bottom w:type="dxa" w:w="120"/>
              <w:right w:type="dxa" w:w="180"/>
            </w:tcMar>
          </w:tcPr>
          <w:p>
            <w:r>
              <w:rPr>
                <w:b w:val="false"/>
                <w:bCs w:val="false"/>
                <w:color w:val="222222"/>
                <w:sz w:val="21"/>
                <w:szCs w:val="21"/>
              </w:rPr>
              <w:t xml:space="preserve">Moderate</w:t>
            </w:r>
          </w:p>
        </w:tc>
        <w:tc>
          <w:tcPr>
            <w:tcW w:type="dxa" w:w="2250"/>
            <w:shd w:fill="F5F7FB" w:val="clear"/>
            <w:tcMar>
              <w:top w:type="dxa" w:w="120"/>
              <w:left w:type="dxa" w:w="180"/>
              <w:bottom w:type="dxa" w:w="120"/>
              <w:right w:type="dxa" w:w="180"/>
            </w:tcMar>
          </w:tcPr>
          <w:p>
            <w:r>
              <w:rPr>
                <w:b w:val="false"/>
                <w:bCs w:val="false"/>
                <w:color w:val="222222"/>
                <w:sz w:val="21"/>
                <w:szCs w:val="21"/>
              </w:rPr>
              <w:t xml:space="preserve">43 days</w:t>
            </w:r>
          </w:p>
        </w:tc>
        <w:tc>
          <w:tcPr>
            <w:tcW w:type="dxa" w:w="2250"/>
            <w:shd w:fill="F5F7FB" w:val="clear"/>
            <w:tcMar>
              <w:top w:type="dxa" w:w="120"/>
              <w:left w:type="dxa" w:w="180"/>
              <w:bottom w:type="dxa" w:w="120"/>
              <w:right w:type="dxa" w:w="180"/>
            </w:tcMar>
          </w:tcPr>
          <w:p>
            <w:r>
              <w:rPr>
                <w:b w:val="false"/>
                <w:bCs w:val="false"/>
                <w:color w:val="222222"/>
                <w:sz w:val="21"/>
                <w:szCs w:val="21"/>
              </w:rPr>
              <w:t xml:space="preserve">32 days</w:t>
            </w:r>
          </w:p>
        </w:tc>
        <w:tc>
          <w:tcPr>
            <w:tcW w:type="dxa" w:w="2250"/>
            <w:shd w:fill="F5F7FB" w:val="clear"/>
            <w:tcMar>
              <w:top w:type="dxa" w:w="120"/>
              <w:left w:type="dxa" w:w="180"/>
              <w:bottom w:type="dxa" w:w="120"/>
              <w:right w:type="dxa" w:w="180"/>
            </w:tcMar>
          </w:tcPr>
          <w:p>
            <w:r>
              <w:rPr>
                <w:b w:val="false"/>
                <w:bCs w:val="false"/>
                <w:color w:val="222222"/>
                <w:sz w:val="21"/>
                <w:szCs w:val="21"/>
              </w:rPr>
              <w:t xml:space="preserve">+11</w:t>
            </w:r>
          </w:p>
        </w:tc>
      </w:tr>
      <w:tr>
        <w:tc>
          <w:tcPr>
            <w:tcW w:type="dxa" w:w="2250"/>
            <w:shd w:fill="FFFFFF" w:val="clear"/>
            <w:tcMar>
              <w:top w:type="dxa" w:w="120"/>
              <w:left w:type="dxa" w:w="180"/>
              <w:bottom w:type="dxa" w:w="120"/>
              <w:right w:type="dxa" w:w="180"/>
            </w:tcMar>
          </w:tcPr>
          <w:p>
            <w:r>
              <w:rPr>
                <w:b w:val="false"/>
                <w:bCs w:val="false"/>
                <w:color w:val="222222"/>
                <w:sz w:val="21"/>
                <w:szCs w:val="21"/>
              </w:rPr>
              <w:t xml:space="preserve">Minor</w:t>
            </w:r>
          </w:p>
        </w:tc>
        <w:tc>
          <w:tcPr>
            <w:tcW w:type="dxa" w:w="2250"/>
            <w:shd w:fill="FFFFFF" w:val="clear"/>
            <w:tcMar>
              <w:top w:type="dxa" w:w="120"/>
              <w:left w:type="dxa" w:w="180"/>
              <w:bottom w:type="dxa" w:w="120"/>
              <w:right w:type="dxa" w:w="180"/>
            </w:tcMar>
          </w:tcPr>
          <w:p>
            <w:r>
              <w:rPr>
                <w:b w:val="false"/>
                <w:bCs w:val="false"/>
                <w:color w:val="222222"/>
                <w:sz w:val="21"/>
                <w:szCs w:val="21"/>
              </w:rPr>
              <w:t xml:space="preserve">35 days</w:t>
            </w:r>
          </w:p>
        </w:tc>
        <w:tc>
          <w:tcPr>
            <w:tcW w:type="dxa" w:w="2250"/>
            <w:shd w:fill="FFFFFF" w:val="clear"/>
            <w:tcMar>
              <w:top w:type="dxa" w:w="120"/>
              <w:left w:type="dxa" w:w="180"/>
              <w:bottom w:type="dxa" w:w="120"/>
              <w:right w:type="dxa" w:w="180"/>
            </w:tcMar>
          </w:tcPr>
          <w:p>
            <w:r>
              <w:rPr>
                <w:b w:val="false"/>
                <w:bCs w:val="false"/>
                <w:color w:val="222222"/>
                <w:sz w:val="21"/>
                <w:szCs w:val="21"/>
              </w:rPr>
              <w:t xml:space="preserve">28 days</w:t>
            </w:r>
          </w:p>
        </w:tc>
        <w:tc>
          <w:tcPr>
            <w:tcW w:type="dxa" w:w="2250"/>
            <w:shd w:fill="FFFFFF" w:val="clear"/>
            <w:tcMar>
              <w:top w:type="dxa" w:w="120"/>
              <w:left w:type="dxa" w:w="180"/>
              <w:bottom w:type="dxa" w:w="120"/>
              <w:right w:type="dxa" w:w="180"/>
            </w:tcMar>
          </w:tcPr>
          <w:p>
            <w:r>
              <w:rPr>
                <w:b w:val="false"/>
                <w:bCs w:val="false"/>
                <w:color w:val="222222"/>
                <w:sz w:val="21"/>
                <w:szCs w:val="21"/>
              </w:rPr>
              <w:t xml:space="preserve">+7</w:t>
            </w:r>
          </w:p>
        </w:tc>
      </w:tr>
    </w:tbl>
    <w:p>
      <w:pPr>
        <w:spacing w:after="160" w:line="300"/>
      </w:pPr>
      <w:r>
        <w:rPr>
          <w:color w:val="222222"/>
          <w:sz w:val="22"/>
          <w:szCs w:val="22"/>
        </w:rPr>
        <w:t xml:space="preserve">The gap persists — and remains large — across every severity tier, including Minor cases, which have no clinical reason to run long. This rules out case-mix as the explanation and points toward an operational cause (discharge process, staffing, or bed management) rather than a clinical one.</w:t>
      </w:r>
    </w:p>
    <w:p>
      <w:pPr>
        <w:pStyle w:val="Heading2"/>
        <w:spacing w:after="120" w:before="260"/>
      </w:pPr>
      <w:r>
        <w:rPr>
          <w:b/>
          <w:bCs/>
          <w:color w:val="2E5EAA"/>
          <w:sz w:val="24"/>
          <w:szCs w:val="24"/>
        </w:rPr>
        <w:t xml:space="preserve">4.3 Correcting a Stakeholder Assumption (Admission Type)</w:t>
      </w:r>
    </w:p>
    <w:p>
      <w:pPr>
        <w:spacing w:after="160" w:line="300"/>
      </w:pPr>
      <w:r>
        <w:rPr>
          <w:color w:val="222222"/>
          <w:sz w:val="22"/>
          <w:szCs w:val="22"/>
        </w:rPr>
        <w:t xml:space="preserve">The original stakeholder framing centered on ER congestion, implying Emergency admissions should be the primary driver. The data does not support this: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250"/>
        <w:gridCol w:w="2250"/>
        <w:gridCol w:w="2250"/>
        <w:gridCol w:w="2250"/>
      </w:tblGrid>
      <w:tr>
        <w:tc>
          <w:tcPr>
            <w:tcW w:type="dxa" w:w="2250"/>
            <w:shd w:fill="1F2A44" w:val="clear"/>
            <w:tcMar>
              <w:top w:type="dxa" w:w="120"/>
              <w:left w:type="dxa" w:w="180"/>
              <w:bottom w:type="dxa" w:w="120"/>
              <w:right w:type="dxa" w:w="180"/>
            </w:tcMar>
          </w:tcPr>
          <w:p>
            <w:r>
              <w:rPr>
                <w:b/>
                <w:bCs/>
                <w:color w:val="FFFFFF"/>
                <w:sz w:val="21"/>
                <w:szCs w:val="21"/>
              </w:rPr>
              <w:t xml:space="preserve">Admission Type</w:t>
            </w:r>
          </w:p>
        </w:tc>
        <w:tc>
          <w:tcPr>
            <w:tcW w:type="dxa" w:w="2250"/>
            <w:shd w:fill="1F2A44" w:val="clear"/>
            <w:tcMar>
              <w:top w:type="dxa" w:w="120"/>
              <w:left w:type="dxa" w:w="180"/>
              <w:bottom w:type="dxa" w:w="120"/>
              <w:right w:type="dxa" w:w="180"/>
            </w:tcMar>
          </w:tcPr>
          <w:p>
            <w:r>
              <w:rPr>
                <w:b/>
                <w:bCs/>
                <w:color w:val="FFFFFF"/>
                <w:sz w:val="21"/>
                <w:szCs w:val="21"/>
              </w:rPr>
              <w:t xml:space="preserve">Ward S Avg</w:t>
            </w:r>
          </w:p>
        </w:tc>
        <w:tc>
          <w:tcPr>
            <w:tcW w:type="dxa" w:w="2250"/>
            <w:shd w:fill="1F2A44" w:val="clear"/>
            <w:tcMar>
              <w:top w:type="dxa" w:w="120"/>
              <w:left w:type="dxa" w:w="180"/>
              <w:bottom w:type="dxa" w:w="120"/>
              <w:right w:type="dxa" w:w="180"/>
            </w:tcMar>
          </w:tcPr>
          <w:p>
            <w:r>
              <w:rPr>
                <w:b/>
                <w:bCs/>
                <w:color w:val="FFFFFF"/>
                <w:sz w:val="21"/>
                <w:szCs w:val="21"/>
              </w:rPr>
              <w:t xml:space="preserve">System Avg (same type)</w:t>
            </w:r>
          </w:p>
        </w:tc>
        <w:tc>
          <w:tcPr>
            <w:tcW w:type="dxa" w:w="2250"/>
            <w:shd w:fill="1F2A44" w:val="clear"/>
            <w:tcMar>
              <w:top w:type="dxa" w:w="120"/>
              <w:left w:type="dxa" w:w="180"/>
              <w:bottom w:type="dxa" w:w="120"/>
              <w:right w:type="dxa" w:w="180"/>
            </w:tcMar>
          </w:tcPr>
          <w:p>
            <w:r>
              <w:rPr>
                <w:b/>
                <w:bCs/>
                <w:color w:val="FFFFFF"/>
                <w:sz w:val="21"/>
                <w:szCs w:val="21"/>
              </w:rPr>
              <w:t xml:space="preserve">Gap</w:t>
            </w:r>
          </w:p>
        </w:tc>
      </w:tr>
      <w:tr>
        <w:tc>
          <w:tcPr>
            <w:tcW w:type="dxa" w:w="2250"/>
            <w:shd w:fill="FFFFFF" w:val="clear"/>
            <w:tcMar>
              <w:top w:type="dxa" w:w="120"/>
              <w:left w:type="dxa" w:w="180"/>
              <w:bottom w:type="dxa" w:w="120"/>
              <w:right w:type="dxa" w:w="180"/>
            </w:tcMar>
          </w:tcPr>
          <w:p>
            <w:r>
              <w:rPr>
                <w:b w:val="false"/>
                <w:bCs w:val="false"/>
                <w:color w:val="222222"/>
                <w:sz w:val="21"/>
                <w:szCs w:val="21"/>
              </w:rPr>
              <w:t xml:space="preserve">Trauma</w:t>
            </w:r>
          </w:p>
        </w:tc>
        <w:tc>
          <w:tcPr>
            <w:tcW w:type="dxa" w:w="2250"/>
            <w:shd w:fill="FFFFFF" w:val="clear"/>
            <w:tcMar>
              <w:top w:type="dxa" w:w="120"/>
              <w:left w:type="dxa" w:w="180"/>
              <w:bottom w:type="dxa" w:w="120"/>
              <w:right w:type="dxa" w:w="180"/>
            </w:tcMar>
          </w:tcPr>
          <w:p>
            <w:r>
              <w:rPr>
                <w:b w:val="false"/>
                <w:bCs w:val="false"/>
                <w:color w:val="222222"/>
                <w:sz w:val="21"/>
                <w:szCs w:val="21"/>
              </w:rPr>
              <w:t xml:space="preserve">45 days</w:t>
            </w:r>
          </w:p>
        </w:tc>
        <w:tc>
          <w:tcPr>
            <w:tcW w:type="dxa" w:w="2250"/>
            <w:shd w:fill="FFFFFF" w:val="clear"/>
            <w:tcMar>
              <w:top w:type="dxa" w:w="120"/>
              <w:left w:type="dxa" w:w="180"/>
              <w:bottom w:type="dxa" w:w="120"/>
              <w:right w:type="dxa" w:w="180"/>
            </w:tcMar>
          </w:tcPr>
          <w:p>
            <w:r>
              <w:rPr>
                <w:b w:val="false"/>
                <w:bCs w:val="false"/>
                <w:color w:val="222222"/>
                <w:sz w:val="21"/>
                <w:szCs w:val="21"/>
              </w:rPr>
              <w:t xml:space="preserve">34 days</w:t>
            </w:r>
          </w:p>
        </w:tc>
        <w:tc>
          <w:tcPr>
            <w:tcW w:type="dxa" w:w="2250"/>
            <w:shd w:fill="FFFFFF" w:val="clear"/>
            <w:tcMar>
              <w:top w:type="dxa" w:w="120"/>
              <w:left w:type="dxa" w:w="180"/>
              <w:bottom w:type="dxa" w:w="120"/>
              <w:right w:type="dxa" w:w="180"/>
            </w:tcMar>
          </w:tcPr>
          <w:p>
            <w:r>
              <w:rPr>
                <w:b w:val="false"/>
                <w:bCs w:val="false"/>
                <w:color w:val="222222"/>
                <w:sz w:val="21"/>
                <w:szCs w:val="21"/>
              </w:rPr>
              <w:t xml:space="preserve">+11</w:t>
            </w:r>
          </w:p>
        </w:tc>
      </w:tr>
      <w:tr>
        <w:tc>
          <w:tcPr>
            <w:tcW w:type="dxa" w:w="2250"/>
            <w:shd w:fill="F5F7FB" w:val="clear"/>
            <w:tcMar>
              <w:top w:type="dxa" w:w="120"/>
              <w:left w:type="dxa" w:w="180"/>
              <w:bottom w:type="dxa" w:w="120"/>
              <w:right w:type="dxa" w:w="180"/>
            </w:tcMar>
          </w:tcPr>
          <w:p>
            <w:r>
              <w:rPr>
                <w:b w:val="false"/>
                <w:bCs w:val="false"/>
                <w:color w:val="222222"/>
                <w:sz w:val="21"/>
                <w:szCs w:val="21"/>
              </w:rPr>
              <w:t xml:space="preserve">Urgent</w:t>
            </w:r>
          </w:p>
        </w:tc>
        <w:tc>
          <w:tcPr>
            <w:tcW w:type="dxa" w:w="2250"/>
            <w:shd w:fill="F5F7FB" w:val="clear"/>
            <w:tcMar>
              <w:top w:type="dxa" w:w="120"/>
              <w:left w:type="dxa" w:w="180"/>
              <w:bottom w:type="dxa" w:w="120"/>
              <w:right w:type="dxa" w:w="180"/>
            </w:tcMar>
          </w:tcPr>
          <w:p>
            <w:r>
              <w:rPr>
                <w:b w:val="false"/>
                <w:bCs w:val="false"/>
                <w:color w:val="222222"/>
                <w:sz w:val="21"/>
                <w:szCs w:val="21"/>
              </w:rPr>
              <w:t xml:space="preserve">43 days</w:t>
            </w:r>
          </w:p>
        </w:tc>
        <w:tc>
          <w:tcPr>
            <w:tcW w:type="dxa" w:w="2250"/>
            <w:shd w:fill="F5F7FB" w:val="clear"/>
            <w:tcMar>
              <w:top w:type="dxa" w:w="120"/>
              <w:left w:type="dxa" w:w="180"/>
              <w:bottom w:type="dxa" w:w="120"/>
              <w:right w:type="dxa" w:w="180"/>
            </w:tcMar>
          </w:tcPr>
          <w:p>
            <w:r>
              <w:rPr>
                <w:b w:val="false"/>
                <w:bCs w:val="false"/>
                <w:color w:val="222222"/>
                <w:sz w:val="21"/>
                <w:szCs w:val="21"/>
              </w:rPr>
              <w:t xml:space="preserve">30 days</w:t>
            </w:r>
          </w:p>
        </w:tc>
        <w:tc>
          <w:tcPr>
            <w:tcW w:type="dxa" w:w="2250"/>
            <w:shd w:fill="F5F7FB" w:val="clear"/>
            <w:tcMar>
              <w:top w:type="dxa" w:w="120"/>
              <w:left w:type="dxa" w:w="180"/>
              <w:bottom w:type="dxa" w:w="120"/>
              <w:right w:type="dxa" w:w="180"/>
            </w:tcMar>
          </w:tcPr>
          <w:p>
            <w:r>
              <w:rPr>
                <w:b w:val="false"/>
                <w:bCs w:val="false"/>
                <w:color w:val="222222"/>
                <w:sz w:val="21"/>
                <w:szCs w:val="21"/>
              </w:rPr>
              <w:t xml:space="preserve">+13</w:t>
            </w:r>
          </w:p>
        </w:tc>
      </w:tr>
      <w:tr>
        <w:tc>
          <w:tcPr>
            <w:tcW w:type="dxa" w:w="2250"/>
            <w:shd w:fill="FFFFFF" w:val="clear"/>
            <w:tcMar>
              <w:top w:type="dxa" w:w="120"/>
              <w:left w:type="dxa" w:w="180"/>
              <w:bottom w:type="dxa" w:w="120"/>
              <w:right w:type="dxa" w:w="180"/>
            </w:tcMar>
          </w:tcPr>
          <w:p>
            <w:r>
              <w:rPr>
                <w:b w:val="false"/>
                <w:bCs w:val="false"/>
                <w:color w:val="222222"/>
                <w:sz w:val="21"/>
                <w:szCs w:val="21"/>
              </w:rPr>
              <w:t xml:space="preserve">Emergency</w:t>
            </w:r>
          </w:p>
        </w:tc>
        <w:tc>
          <w:tcPr>
            <w:tcW w:type="dxa" w:w="2250"/>
            <w:shd w:fill="FFFFFF" w:val="clear"/>
            <w:tcMar>
              <w:top w:type="dxa" w:w="120"/>
              <w:left w:type="dxa" w:w="180"/>
              <w:bottom w:type="dxa" w:w="120"/>
              <w:right w:type="dxa" w:w="180"/>
            </w:tcMar>
          </w:tcPr>
          <w:p>
            <w:r>
              <w:rPr>
                <w:b w:val="false"/>
                <w:bCs w:val="false"/>
                <w:color w:val="222222"/>
                <w:sz w:val="21"/>
                <w:szCs w:val="21"/>
              </w:rPr>
              <w:t xml:space="preserve">37 days</w:t>
            </w:r>
          </w:p>
        </w:tc>
        <w:tc>
          <w:tcPr>
            <w:tcW w:type="dxa" w:w="2250"/>
            <w:shd w:fill="FFFFFF" w:val="clear"/>
            <w:tcMar>
              <w:top w:type="dxa" w:w="120"/>
              <w:left w:type="dxa" w:w="180"/>
              <w:bottom w:type="dxa" w:w="120"/>
              <w:right w:type="dxa" w:w="180"/>
            </w:tcMar>
          </w:tcPr>
          <w:p>
            <w:r>
              <w:rPr>
                <w:b w:val="false"/>
                <w:bCs w:val="false"/>
                <w:color w:val="222222"/>
                <w:sz w:val="21"/>
                <w:szCs w:val="21"/>
              </w:rPr>
              <w:t xml:space="preserve">30 days</w:t>
            </w:r>
          </w:p>
        </w:tc>
        <w:tc>
          <w:tcPr>
            <w:tcW w:type="dxa" w:w="2250"/>
            <w:shd w:fill="FFFFFF" w:val="clear"/>
            <w:tcMar>
              <w:top w:type="dxa" w:w="120"/>
              <w:left w:type="dxa" w:w="180"/>
              <w:bottom w:type="dxa" w:w="120"/>
              <w:right w:type="dxa" w:w="180"/>
            </w:tcMar>
          </w:tcPr>
          <w:p>
            <w:r>
              <w:rPr>
                <w:b w:val="false"/>
                <w:bCs w:val="false"/>
                <w:color w:val="222222"/>
                <w:sz w:val="21"/>
                <w:szCs w:val="21"/>
              </w:rPr>
              <w:t xml:space="preserve">+7</w:t>
            </w:r>
          </w:p>
        </w:tc>
      </w:tr>
    </w:tbl>
    <w:p>
      <w:pPr>
        <w:spacing w:after="160" w:line="300"/>
      </w:pPr>
      <w:r>
        <w:rPr>
          <w:color w:val="222222"/>
          <w:sz w:val="22"/>
          <w:szCs w:val="22"/>
        </w:rPr>
        <w:t xml:space="preserve">Trauma and Urgent admissions — not Emergency — show the largest gaps at Ward S. This refines the original stakeholder narrative: the visible symptom (ER congestion) is real, but the underlying driver is more closely tied to how Trauma and Urgent cases are managed once admitted, not ER intake volume itself. Surfacing this distinction is arguably the most valuable output of the analysis, since it redirects the operational fix toward the actual lever.</w:t>
      </w:r>
    </w:p>
    <w:p>
      <w:pPr>
        <w:pStyle w:val="Heading1"/>
        <w:spacing w:after="160" w:before="360"/>
      </w:pPr>
      <w:r>
        <w:rPr>
          <w:b/>
          <w:bCs/>
          <w:color w:val="1F2A44"/>
          <w:sz w:val="30"/>
          <w:szCs w:val="30"/>
        </w:rPr>
        <w:t xml:space="preserve">5. Data Model</w:t>
      </w:r>
    </w:p>
    <w:p>
      <w:pPr>
        <w:spacing w:after="160" w:line="300"/>
      </w:pPr>
      <w:r>
        <w:rPr>
          <w:color w:val="222222"/>
          <w:sz w:val="22"/>
          <w:szCs w:val="22"/>
        </w:rPr>
        <w:t xml:space="preserve">Findings were productionized into a star schema (SQL Server) to support the Power BI dashboard: a central Fact_Admissions table (313,793 rows, grain = one row per case) joined to seven dimension tables (Hospital, Ward, Patient, Department, Admission Type, Severity, Bed Grade). Row-count reconciliation (313,793 in Fact vs. 313,793 in the cleaned source) confirmed no records were lost or duplicated during the join.</w:t>
      </w:r>
    </w:p>
    <w:p>
      <w:pPr>
        <w:pageBreakBefore/>
      </w:pPr>
      <w:r>
        <w:br/>
        <w:t xml:space="preserve"/>
      </w:r>
    </w:p>
    <w:p>
      <w:pPr>
        <w:pStyle w:val="Heading1"/>
        <w:spacing w:after="160" w:before="360"/>
      </w:pPr>
      <w:r>
        <w:rPr>
          <w:b/>
          <w:bCs/>
          <w:color w:val="1F2A44"/>
          <w:sz w:val="30"/>
          <w:szCs w:val="30"/>
        </w:rPr>
        <w:t xml:space="preserve">6. Recommendation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2E5EAA" w:sz="4"/>
              <w:left w:val="single" w:color="2E5EAA" w:sz="24"/>
              <w:bottom w:val="single" w:color="2E5EAA" w:sz="4"/>
              <w:right w:val="single" w:color="2E5EAA" w:sz="4"/>
            </w:tcBorders>
            <w:shd w:fill="EAF0FB" w:val="clear"/>
            <w:tcMar>
              <w:top w:type="dxa" w:w="200"/>
              <w:left w:type="dxa" w:w="240"/>
              <w:bottom w:type="dxa" w:w="200"/>
              <w:right w:type="dxa" w:w="240"/>
            </w:tcMar>
          </w:tcPr>
          <w:p>
            <w:pPr>
              <w:spacing w:after="100"/>
            </w:pPr>
            <w:r>
              <w:rPr>
                <w:b/>
                <w:bCs/>
                <w:color w:val="1F2A44"/>
                <w:sz w:val="22"/>
                <w:szCs w:val="22"/>
              </w:rPr>
              <w:t xml:space="preserve">Prescriptive Insight</w:t>
            </w:r>
          </w:p>
          <w:p>
            <w:pPr>
              <w:spacing w:after="100"/>
            </w:pPr>
            <w:r>
              <w:rPr>
                <w:b/>
                <w:bCs/>
                <w:color w:val="222222"/>
                <w:sz w:val="21"/>
                <w:szCs w:val="21"/>
              </w:rPr>
              <w:t xml:space="preserve">To reduce average length of stay, Hospital 2’s Ward S management should audit discharge timing and staffing for its ~4,300 annual cases by end of next quarter.</w:t>
            </w:r>
          </w:p>
          <w:p>
            <w:pPr>
              <w:spacing w:after="100"/>
            </w:pPr>
            <w:r>
              <w:rPr>
                <w:color w:val="333333"/>
                <w:sz w:val="21"/>
                <w:szCs w:val="21"/>
              </w:rPr>
              <w:t xml:space="preserve">This is not explained by patient severity — even Minor-severity cases run 7 days longer than the system average for Minor cases at this ward — and while the original concern centered on ER congestion, the data shows Trauma and Urgent admissions, not Emergency, are the larger driver of delay at Ward S.</w:t>
            </w:r>
          </w:p>
          <w:p>
            <w:r>
              <w:rPr>
                <w:color w:val="333333"/>
                <w:sz w:val="21"/>
                <w:szCs w:val="21"/>
              </w:rPr>
              <w:t xml:space="preserve">Closing even half of the 10.27-day gap would free approximately 22,100 bed-days per year for new admissions — capacity that falls directly within Operations’ existing authority to act on (staffing, bed/ward reallocation, discharge process), with no cross-hospital escalation required.</w:t>
            </w:r>
          </w:p>
        </w:tc>
      </w:tr>
    </w:tbl>
    <w:p>
      <w:pPr>
        <w:spacing w:after="160" w:line="300"/>
      </w:pPr>
      <w:r>
        <w:rPr>
          <w:color w:val="222222"/>
          <w:sz w:val="22"/>
          <w:szCs w:val="22"/>
        </w:rPr>
        <w:t xml:space="preserve"/>
      </w:r>
    </w:p>
    <w:p>
      <w:pPr>
        <w:pStyle w:val="Heading2"/>
        <w:spacing w:after="120" w:before="260"/>
      </w:pPr>
      <w:r>
        <w:rPr>
          <w:b/>
          <w:bCs/>
          <w:color w:val="2E5EAA"/>
          <w:sz w:val="24"/>
          <w:szCs w:val="24"/>
        </w:rPr>
        <w:t xml:space="preserve">Suggested Next Steps for Ward S</w:t>
      </w:r>
    </w:p>
    <w:p>
      <w:pPr>
        <w:pStyle w:val="ListParagraph"/>
        <w:numPr>
          <w:ilvl w:val="0"/>
          <w:numId w:val="2"/>
        </w:numPr>
        <w:spacing w:after="90" w:line="280"/>
      </w:pPr>
      <w:r>
        <w:rPr>
          <w:b w:val="false"/>
          <w:bCs w:val="false"/>
          <w:sz w:val="22"/>
          <w:szCs w:val="22"/>
        </w:rPr>
        <w:t xml:space="preserve">Audit discharge timing for Trauma and Urgent cases specifically — identify whether delays cluster around a particular stage (physician sign-off, transport, family coordination, step-down bed availability).</w:t>
      </w:r>
    </w:p>
    <w:p>
      <w:pPr>
        <w:pStyle w:val="ListParagraph"/>
        <w:numPr>
          <w:ilvl w:val="0"/>
          <w:numId w:val="2"/>
        </w:numPr>
        <w:spacing w:after="90" w:line="280"/>
      </w:pPr>
      <w:r>
        <w:rPr>
          <w:b w:val="false"/>
          <w:bCs w:val="false"/>
          <w:sz w:val="22"/>
          <w:szCs w:val="22"/>
        </w:rPr>
        <w:t xml:space="preserve">Compare Ward S staffing ratios and shift coverage against Ward Q (the best-performing ward at the same hospital) as an internal best-practice benchmark.</w:t>
      </w:r>
    </w:p>
    <w:p>
      <w:pPr>
        <w:pStyle w:val="ListParagraph"/>
        <w:numPr>
          <w:ilvl w:val="0"/>
          <w:numId w:val="2"/>
        </w:numPr>
        <w:spacing w:after="90" w:line="280"/>
      </w:pPr>
      <w:r>
        <w:rPr>
          <w:b w:val="false"/>
          <w:bCs w:val="false"/>
          <w:sz w:val="22"/>
          <w:szCs w:val="22"/>
        </w:rPr>
        <w:t xml:space="preserve">Re-run this analysis in 90 days post-intervention to confirm the gap has narrowed before considering escalation to cross-hospital load-balancing.</w:t>
      </w:r>
    </w:p>
    <w:p>
      <w:pPr>
        <w:pStyle w:val="Heading2"/>
        <w:spacing w:after="120" w:before="260"/>
      </w:pPr>
      <w:r>
        <w:rPr>
          <w:b/>
          <w:bCs/>
          <w:color w:val="2E5EAA"/>
          <w:sz w:val="24"/>
          <w:szCs w:val="24"/>
        </w:rPr>
        <w:t xml:space="preserve">Caveats &amp; Limitations</w:t>
      </w:r>
    </w:p>
    <w:p>
      <w:pPr>
        <w:pStyle w:val="ListParagraph"/>
        <w:numPr>
          <w:ilvl w:val="0"/>
          <w:numId w:val="2"/>
        </w:numPr>
        <w:spacing w:after="90" w:line="280"/>
      </w:pPr>
      <w:r>
        <w:rPr>
          <w:b w:val="false"/>
          <w:bCs w:val="false"/>
          <w:sz w:val="22"/>
          <w:szCs w:val="22"/>
        </w:rPr>
        <w:t xml:space="preserve">This dataset is an anonymized competition extract (Kaggle / Analytics Vidhya), not a live hospital data feed — it contains no admission/discharge dates, so trend-over-time and seasonality could not be analyzed.</w:t>
      </w:r>
    </w:p>
    <w:p>
      <w:pPr>
        <w:pStyle w:val="ListParagraph"/>
        <w:numPr>
          <w:ilvl w:val="0"/>
          <w:numId w:val="2"/>
        </w:numPr>
        <w:spacing w:after="90" w:line="280"/>
      </w:pPr>
      <w:r>
        <w:rPr>
          <w:b w:val="false"/>
          <w:bCs w:val="false"/>
          <w:sz w:val="22"/>
          <w:szCs w:val="22"/>
        </w:rPr>
        <w:t xml:space="preserve">Stay and Age are provided as ranges, not exact values; midpoint conversion introduces a small, unavoidable estimation error in all averages.</w:t>
      </w:r>
    </w:p>
    <w:p>
      <w:pPr>
        <w:pStyle w:val="ListParagraph"/>
        <w:numPr>
          <w:ilvl w:val="0"/>
          <w:numId w:val="2"/>
        </w:numPr>
        <w:spacing w:after="90" w:line="280"/>
      </w:pPr>
      <w:r>
        <w:rPr>
          <w:b w:val="false"/>
          <w:bCs w:val="false"/>
          <w:sz w:val="22"/>
          <w:szCs w:val="22"/>
        </w:rPr>
        <w:t xml:space="preserve">Admission_Deposit could not be validated as a true cost or revenue figure and was intentionally excluded from any financial claims, per discovery scope.</w:t>
      </w:r>
    </w:p>
    <w:p>
      <w:pPr>
        <w:pageBreakBefore/>
      </w:pPr>
      <w:r>
        <w:br/>
        <w:t xml:space="preserve"/>
      </w:r>
    </w:p>
    <w:p>
      <w:pPr>
        <w:pStyle w:val="Heading1"/>
        <w:spacing w:after="160" w:before="360"/>
      </w:pPr>
      <w:r>
        <w:rPr>
          <w:b/>
          <w:bCs/>
          <w:color w:val="1F2A44"/>
          <w:sz w:val="30"/>
          <w:szCs w:val="30"/>
        </w:rPr>
        <w:t xml:space="preserve">7. Phase 2 Roadmap</w:t>
      </w:r>
    </w:p>
    <w:p>
      <w:pPr>
        <w:spacing w:after="160" w:line="300"/>
      </w:pPr>
      <w:r>
        <w:rPr>
          <w:color w:val="222222"/>
          <w:sz w:val="22"/>
          <w:szCs w:val="22"/>
        </w:rPr>
        <w:t xml:space="preserve">The current engagement is diagnostic: it explains what happened and why. A natural, valuable follow-on scope exists to make the work predictive and proactive:</w:t>
      </w:r>
    </w:p>
    <w:p>
      <w:pPr>
        <w:pStyle w:val="ListParagraph"/>
        <w:numPr>
          <w:ilvl w:val="0"/>
          <w:numId w:val="2"/>
        </w:numPr>
        <w:spacing w:after="90" w:line="280"/>
      </w:pPr>
      <w:r>
        <w:rPr>
          <w:b/>
          <w:bCs/>
          <w:sz w:val="22"/>
          <w:szCs w:val="22"/>
        </w:rPr>
        <w:t xml:space="preserve">Predictive length-of-stay model — flag at-risk-for-long-stay patients at admission (using severity, admission type, ward, bed grade) so staff can plan discharge earlier rather than reactively.</w:t>
      </w:r>
    </w:p>
    <w:p>
      <w:pPr>
        <w:pStyle w:val="ListParagraph"/>
        <w:numPr>
          <w:ilvl w:val="0"/>
          <w:numId w:val="2"/>
        </w:numPr>
        <w:spacing w:after="90" w:line="280"/>
      </w:pPr>
      <w:r>
        <w:rPr>
          <w:b w:val="false"/>
          <w:bCs w:val="false"/>
          <w:sz w:val="22"/>
          <w:szCs w:val="22"/>
        </w:rPr>
        <w:t xml:space="preserve">Automated variance alerting — a Power BI/Power Automate alert when any hospital-ward combination's rolling average stay exceeds its benchmark by a defined threshold, rather than waiting for a quarterly review to catch it.</w:t>
      </w:r>
    </w:p>
    <w:p>
      <w:pPr>
        <w:pStyle w:val="ListParagraph"/>
        <w:numPr>
          <w:ilvl w:val="0"/>
          <w:numId w:val="2"/>
        </w:numPr>
        <w:spacing w:after="90" w:line="280"/>
      </w:pPr>
      <w:r>
        <w:rPr>
          <w:b w:val="false"/>
          <w:bCs w:val="false"/>
          <w:sz w:val="22"/>
          <w:szCs w:val="22"/>
        </w:rPr>
        <w:t xml:space="preserve">Repeat-visit / patient-loyalty analysis — a shelved finding from this engagement (case volume per patient, repeat-admission rate) that was out of scope here but could inform care-continuity initiatives.</w:t>
      </w:r>
    </w:p>
    <w:p>
      <w:pPr>
        <w:pStyle w:val="ListParagraph"/>
        <w:numPr>
          <w:ilvl w:val="0"/>
          <w:numId w:val="2"/>
        </w:numPr>
        <w:spacing w:after="90" w:line="280"/>
      </w:pPr>
      <w:r>
        <w:rPr>
          <w:b w:val="false"/>
          <w:bCs w:val="false"/>
          <w:sz w:val="22"/>
          <w:szCs w:val="22"/>
        </w:rPr>
        <w:t xml:space="preserve">Financial impact layer — once Finance confirms what Admission_Deposit represents, extend this model to quantify cost recovery alongside the bed-day operational metric already built.</w:t>
      </w:r>
    </w:p>
    <w:p>
      <w:pPr>
        <w:pStyle w:val="ListParagraph"/>
        <w:numPr>
          <w:ilvl w:val="0"/>
          <w:numId w:val="2"/>
        </w:numPr>
        <w:spacing w:after="90" w:line="280"/>
      </w:pPr>
      <w:r>
        <w:rPr>
          <w:b w:val="false"/>
          <w:bCs w:val="false"/>
          <w:sz w:val="22"/>
          <w:szCs w:val="22"/>
        </w:rPr>
        <w:t xml:space="preserve">Cross-hospital load-balancing model — extend the Hospital 2/Ward S finding into a system-wide recommendation engine for when and where to route overflow patients.</w:t>
      </w:r>
    </w:p>
    <w:p>
      <w:pPr>
        <w:spacing w:after="160" w:line="300"/>
      </w:pPr>
      <w:r>
        <w:rPr>
          <w:color w:val="222222"/>
          <w:sz w:val="22"/>
          <w:szCs w:val="22"/>
        </w:rPr>
        <w:t xml:space="preserve">Each of these builds directly on the existing star schema and dashboard, meaning Phase 2 work would not require rebuilding the data foundation — only extending it.</w:t>
      </w:r>
    </w:p>
    <w:sectPr>
      <w:headerReference w:type="default" r:id="rId7"/>
      <w:footerReference w:type="default" r:id="rId8"/>
      <w:pgSz w:w="12240" w:h="15840" w:orient="portrait"/>
      <w:pgMar w:top="1080" w:right="1200" w:bottom="108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t xml:space="preserve">Page </w:t>
    </w:r>
    <w:r>
      <w:rPr>
        <w:color w:val="59595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595959"/>
        <w:sz w:val="16"/>
        <w:szCs w:val="16"/>
      </w:rPr>
      <w:t xml:space="preserve">Hospital Length-of-Stay Analytics | Case Study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31" w:hanging="259"/>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2026-08-15T10:31:30.926Z</dcterms:created>
  <dcterms:modified xsi:type="dcterms:W3CDTF">2026-08-15T10:31:30.926Z</dcterms:modified>
</cp:coreProperties>
</file>

<file path=docProps/custom.xml><?xml version="1.0" encoding="utf-8"?>
<Properties xmlns="http://schemas.openxmlformats.org/officeDocument/2006/custom-properties" xmlns:vt="http://schemas.openxmlformats.org/officeDocument/2006/docPropsVTypes"/>
</file>