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0C447C"/>
          <w:sz w:val="64"/>
          <w:szCs w:val="64"/>
        </w:rPr>
        <w:t xml:space="preserve">UrbanCart</w:t>
      </w:r>
    </w:p>
    <w:p>
      <w:pPr>
        <w:spacing w:after="100" w:before="200"/>
        <w:jc w:val="center"/>
      </w:pPr>
      <w:r>
        <w:rPr>
          <w:rFonts w:ascii="Calibri" w:cs="Calibri" w:eastAsia="Calibri" w:hAnsi="Calibri"/>
          <w:color w:val="0F6E56"/>
          <w:sz w:val="34"/>
          <w:szCs w:val="34"/>
        </w:rPr>
        <w:t xml:space="preserve">E-Commerce Analytics</w:t>
      </w:r>
    </w:p>
    <w:p>
      <w:pPr>
        <w:spacing w:after="1200"/>
        <w:jc w:val="center"/>
      </w:pPr>
      <w:r>
        <w:rPr>
          <w:rFonts w:ascii="Calibri" w:cs="Calibri" w:eastAsia="Calibri" w:hAnsi="Calibri"/>
          <w:color w:val="555555"/>
          <w:sz w:val="26"/>
          <w:szCs w:val="26"/>
        </w:rPr>
        <w:t xml:space="preserve">Findings &amp; Recommendations Report</w:t>
      </w:r>
    </w:p>
    <w:p>
      <w:pPr>
        <w:pBdr>
          <w:top w:val="single" w:color="0C447C" w:sz="12" w:space="10"/>
        </w:pBdr>
        <w:spacing w:before="400"/>
        <w:jc w:val="center"/>
      </w:pPr>
    </w:p>
    <w:p>
      <w:pPr>
        <w:spacing w:before="600"/>
        <w:jc w:val="center"/>
      </w:pPr>
      <w:r>
        <w:rPr>
          <w:rFonts w:ascii="Calibri" w:cs="Calibri" w:eastAsia="Calibri" w:hAnsi="Calibri"/>
          <w:color w:val="444444"/>
          <w:sz w:val="21"/>
          <w:szCs w:val="21"/>
        </w:rPr>
        <w:t xml:space="preserve">Reporting Period: January 2023 – December 2024</w:t>
      </w:r>
    </w:p>
    <w:p>
      <w:pPr>
        <w:spacing w:before="100"/>
        <w:jc w:val="center"/>
      </w:pPr>
      <w:r>
        <w:rPr>
          <w:rFonts w:ascii="Calibri" w:cs="Calibri" w:eastAsia="Calibri" w:hAnsi="Calibri"/>
          <w:color w:val="444444"/>
          <w:sz w:val="21"/>
          <w:szCs w:val="21"/>
        </w:rPr>
        <w:t xml:space="preserve">Prepared for: Sarah Chen (CEO), Marcus Lee (VP Marketing),</w:t>
      </w:r>
    </w:p>
    <w:p>
      <w:pPr>
        <w:jc w:val="center"/>
      </w:pPr>
      <w:r>
        <w:rPr>
          <w:rFonts w:ascii="Calibri" w:cs="Calibri" w:eastAsia="Calibri" w:hAnsi="Calibri"/>
          <w:color w:val="444444"/>
          <w:sz w:val="21"/>
          <w:szCs w:val="21"/>
        </w:rPr>
        <w:t xml:space="preserve">Priya Anand (Merchandising), Daniel Osei (Customer Experience)</w:t>
      </w:r>
    </w:p>
    <w:p>
      <w:pPr>
        <w:spacing w:before="100"/>
        <w:jc w:val="center"/>
      </w:pPr>
      <w:r>
        <w:rPr>
          <w:rFonts w:ascii="Calibri" w:cs="Calibri" w:eastAsia="Calibri" w:hAnsi="Calibri"/>
          <w:color w:val="444444"/>
          <w:sz w:val="21"/>
          <w:szCs w:val="21"/>
        </w:rPr>
        <w:t xml:space="preserve">Prepared by: Data &amp; Analytics</w:t>
      </w:r>
    </w:p>
    <w:p>
      <w:pPr>
        <w:sectPr>
          <w:pgSz w:w="12240" w:h="15840" w:orient="portrait"/>
          <w:pgMar w:top="1440" w:right="1440" w:bottom="1440" w:left="1440" w:header="708" w:footer="708" w:gutter="0"/>
          <w:pgNumType/>
          <w:docGrid w:linePitch="360"/>
        </w:sectPr>
      </w:pPr>
    </w:p>
    <w:p>
      <w:pPr>
        <w:pStyle w:val="Heading1"/>
        <w:pBdr>
          <w:bottom w:val="single" w:color="0C447C" w:sz="8" w:space="4"/>
        </w:pBdr>
        <w:spacing w:after="150" w:before="300"/>
      </w:pPr>
      <w:r>
        <w:rPr>
          <w:rFonts w:ascii="Calibri" w:cs="Calibri" w:eastAsia="Calibri" w:hAnsi="Calibri"/>
          <w:b/>
          <w:bCs/>
          <w:color w:val="0C447C"/>
          <w:sz w:val="30"/>
          <w:szCs w:val="30"/>
        </w:rPr>
        <w:t xml:space="preserve">Executive Summary</w:t>
      </w:r>
    </w:p>
    <w:p>
      <w:pPr>
        <w:spacing w:after="120" w:line="276"/>
      </w:pPr>
      <w:r>
        <w:rPr>
          <w:rFonts w:ascii="Calibri" w:cs="Calibri" w:eastAsia="Calibri" w:hAnsi="Calibri"/>
          <w:color w:val="222222"/>
          <w:sz w:val="21"/>
          <w:szCs w:val="21"/>
        </w:rPr>
        <w:t xml:space="preserve">UrbanCart engaged this analysis to answer four leadership questions using two years of cleaned operational data (2023–2024) across orders, customers, products, marketing, traffic, and support tickets. Every finding below is validated against SQL queries run directly on the cleaned dataset and cross-checked against the Power BI reporting layer.</w:t>
      </w:r>
    </w:p>
    <w:p>
      <w:pPr>
        <w:spacing w:after="120" w:line="276"/>
      </w:pPr>
      <w:r>
        <w:rPr>
          <w:rFonts w:ascii="Calibri" w:cs="Calibri" w:eastAsia="Calibri" w:hAnsi="Calibri"/>
          <w:color w:val="222222"/>
          <w:sz w:val="21"/>
          <w:szCs w:val="21"/>
        </w:rPr>
        <w:t xml:space="preserve">The headline: UrbanCart did not grow meaningfully in 2024 (+0.5% revenue YoY). The business is not in crisis, but it is not on a growth trajectory either. The two biggest levers to change that are not the ones leadership currently suspects — Electronics, not marketing spend, is the largest drag on profit, and payment/account issues, not delivery speed, are the real driver of customer dissatisfaction.</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TOP-LINE NUMBERS (2023–2024)</w:t>
            </w:r>
          </w:p>
          <w:p>
            <w:r>
              <w:rPr>
                <w:rFonts w:ascii="Calibri" w:cs="Calibri" w:eastAsia="Calibri" w:hAnsi="Calibri"/>
                <w:color w:val="222222"/>
                <w:sz w:val="21"/>
                <w:szCs w:val="21"/>
              </w:rPr>
              <w:t xml:space="preserve">Total Revenue: $19.44M   |   Total Orders: 22,663   |   Blended Gross Margin: ~38%   |   Cancellation + Return Rate: 19.3%   |   Active Customers: ~8,000</w:t>
            </w:r>
          </w:p>
        </w:tc>
      </w:tr>
    </w:tbl>
    <w:p>
      <w:pPr>
        <w:pStyle w:val="Heading1"/>
        <w:pBdr>
          <w:bottom w:val="single" w:color="0C447C" w:sz="8" w:space="4"/>
        </w:pBdr>
        <w:spacing w:after="150" w:before="300"/>
      </w:pPr>
      <w:r>
        <w:rPr>
          <w:rFonts w:ascii="Calibri" w:cs="Calibri" w:eastAsia="Calibri" w:hAnsi="Calibri"/>
          <w:b/>
          <w:bCs/>
          <w:color w:val="0C447C"/>
          <w:sz w:val="30"/>
          <w:szCs w:val="30"/>
        </w:rPr>
        <w:t xml:space="preserve">Findings &amp; Recommendations by Stakeholder</w:t>
      </w:r>
    </w:p>
    <w:p>
      <w:pPr>
        <w:pStyle w:val="Heading2"/>
        <w:spacing w:after="100" w:before="240"/>
      </w:pPr>
      <w:r>
        <w:rPr>
          <w:rFonts w:ascii="Calibri" w:cs="Calibri" w:eastAsia="Calibri" w:hAnsi="Calibri"/>
          <w:b/>
          <w:bCs/>
          <w:color w:val="0F6E56"/>
          <w:sz w:val="24"/>
          <w:szCs w:val="24"/>
        </w:rPr>
        <w:t xml:space="preserve">Sarah Chen — Chief Executive Officer</w:t>
      </w:r>
    </w:p>
    <w:p>
      <w:pPr>
        <w:pBdr>
          <w:left w:val="single" w:color="CCCCCC" w:sz="8" w:space="8"/>
        </w:pBdr>
        <w:spacing w:after="150"/>
        <w:ind w:left="300"/>
      </w:pPr>
      <w:r>
        <w:rPr>
          <w:rFonts w:ascii="Calibri" w:cs="Calibri" w:eastAsia="Calibri" w:hAnsi="Calibri"/>
          <w:i/>
          <w:iCs/>
          <w:color w:val="5F5E5A"/>
          <w:sz w:val="20"/>
          <w:szCs w:val="20"/>
        </w:rPr>
        <w:t xml:space="preserve">"I need to walk into the board meeting next week and tell a straight story about where this business is heading."</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KEY FINDING</w:t>
            </w:r>
          </w:p>
          <w:p>
            <w:r>
              <w:rPr>
                <w:rFonts w:ascii="Calibri" w:cs="Calibri" w:eastAsia="Calibri" w:hAnsi="Calibri"/>
                <w:color w:val="222222"/>
                <w:sz w:val="21"/>
                <w:szCs w:val="21"/>
              </w:rPr>
              <w:t xml:space="preserve">Revenue grew just 0.48% year-over-year ($9.69M in 2023 to $9.74M in 2024). Order count grew 1.1%, meaning average order value quietly declined — the business processed more orders without growing revenue proportionally. Customer concentration is weaker than a healthy Pareto split: 44.5% of customers drive 80% of revenue, versus the ~20% benchmark, meaning UrbanCart lacks a small, defensible core of high-value loyal customers.</w:t>
            </w:r>
          </w:p>
        </w:tc>
      </w:tr>
    </w:tbl>
    <w:p>
      <w:pPr>
        <w:spacing w:after="120" w:line="276"/>
      </w:pPr>
      <w:r>
        <w:rPr>
          <w:rFonts w:ascii="Calibri" w:cs="Calibri" w:eastAsia="Calibri" w:hAnsi="Calibri"/>
          <w:color w:val="222222"/>
          <w:sz w:val="21"/>
          <w:szCs w:val="21"/>
        </w:rPr>
        <w:t xml:space="preserve"/>
      </w:r>
    </w:p>
    <w:p>
      <w:pPr>
        <w:spacing w:after="60"/>
      </w:pPr>
      <w:r>
        <w:rPr>
          <w:rFonts w:ascii="Calibri" w:cs="Calibri" w:eastAsia="Calibri" w:hAnsi="Calibri"/>
          <w:b/>
          <w:bCs/>
          <w:sz w:val="21"/>
          <w:szCs w:val="21"/>
        </w:rPr>
        <w:t xml:space="preserve">Why this is happening: </w:t>
      </w:r>
    </w:p>
    <w:p>
      <w:pPr>
        <w:spacing w:after="120" w:line="276"/>
      </w:pPr>
      <w:r>
        <w:rPr>
          <w:rFonts w:ascii="Calibri" w:cs="Calibri" w:eastAsia="Calibri" w:hAnsi="Calibri"/>
          <w:color w:val="222222"/>
          <w:sz w:val="21"/>
          <w:szCs w:val="21"/>
        </w:rPr>
        <w:t xml:space="preserve">Growth has stalled, not reversed. There is no single collapsing driver — it is broad-based flatness across most country and segment combinations, with USA Regular and VIP customers carrying disproportionate weight. The customer base is wide but shallow, which limits the effectiveness of loyalty-focused retention plays until the base is better segmented.</w:t>
      </w:r>
    </w:p>
    <w:p>
      <w:pPr>
        <w:spacing w:after="60" w:before="100"/>
      </w:pPr>
      <w:r>
        <w:rPr>
          <w:rFonts w:ascii="Calibri" w:cs="Calibri" w:eastAsia="Calibri" w:hAnsi="Calibri"/>
          <w:b/>
          <w:bCs/>
          <w:sz w:val="21"/>
          <w:szCs w:val="21"/>
        </w:rPr>
        <w:t xml:space="preserve">Recommended actions:</w:t>
      </w:r>
    </w:p>
    <w:p>
      <w:pPr>
        <w:pStyle w:val="ListParagraph"/>
        <w:numPr>
          <w:ilvl w:val="0"/>
          <w:numId w:val="2"/>
        </w:numPr>
        <w:spacing w:after="80" w:line="270"/>
      </w:pPr>
      <w:r>
        <w:rPr>
          <w:rFonts w:ascii="Calibri" w:cs="Calibri" w:eastAsia="Calibri" w:hAnsi="Calibri"/>
          <w:color w:val="222222"/>
          <w:sz w:val="21"/>
          <w:szCs w:val="21"/>
        </w:rPr>
        <w:t xml:space="preserve">Present 2024 to the board as a flat year, not a growth year — set expectations before the numbers do it for you.</w:t>
      </w:r>
    </w:p>
    <w:p>
      <w:pPr>
        <w:pStyle w:val="ListParagraph"/>
        <w:numPr>
          <w:ilvl w:val="0"/>
          <w:numId w:val="2"/>
        </w:numPr>
        <w:spacing w:after="80" w:line="270"/>
      </w:pPr>
      <w:r>
        <w:rPr>
          <w:rFonts w:ascii="Calibri" w:cs="Calibri" w:eastAsia="Calibri" w:hAnsi="Calibri"/>
          <w:color w:val="222222"/>
          <w:sz w:val="21"/>
          <w:szCs w:val="21"/>
        </w:rPr>
        <w:t xml:space="preserve">Prioritize win-back and retention campaigns for the "At Risk" segment before churn compounds further.</w:t>
      </w:r>
    </w:p>
    <w:p>
      <w:pPr>
        <w:pStyle w:val="ListParagraph"/>
        <w:numPr>
          <w:ilvl w:val="0"/>
          <w:numId w:val="2"/>
        </w:numPr>
        <w:spacing w:after="80" w:line="270"/>
      </w:pPr>
      <w:r>
        <w:rPr>
          <w:rFonts w:ascii="Calibri" w:cs="Calibri" w:eastAsia="Calibri" w:hAnsi="Calibri"/>
          <w:color w:val="222222"/>
          <w:sz w:val="21"/>
          <w:szCs w:val="21"/>
        </w:rPr>
        <w:t xml:space="preserve">Invest in customer segmentation depth (true RFM scoring) to identify and cultivate a defensible VIP core.</w:t>
      </w:r>
    </w:p>
    <w:p>
      <w:pPr>
        <w:pStyle w:val="Heading2"/>
        <w:spacing w:after="100" w:before="240"/>
      </w:pPr>
      <w:r>
        <w:rPr>
          <w:rFonts w:ascii="Calibri" w:cs="Calibri" w:eastAsia="Calibri" w:hAnsi="Calibri"/>
          <w:b/>
          <w:bCs/>
          <w:color w:val="0F6E56"/>
          <w:sz w:val="24"/>
          <w:szCs w:val="24"/>
        </w:rPr>
        <w:t xml:space="preserve">Marcus Lee — VP of Marketing</w:t>
      </w:r>
    </w:p>
    <w:p>
      <w:pPr>
        <w:pBdr>
          <w:left w:val="single" w:color="CCCCCC" w:sz="8" w:space="8"/>
        </w:pBdr>
        <w:spacing w:after="150"/>
        <w:ind w:left="300"/>
      </w:pPr>
      <w:r>
        <w:rPr>
          <w:rFonts w:ascii="Calibri" w:cs="Calibri" w:eastAsia="Calibri" w:hAnsi="Calibri"/>
          <w:i/>
          <w:iCs/>
          <w:color w:val="5F5E5A"/>
          <w:sz w:val="20"/>
          <w:szCs w:val="20"/>
        </w:rPr>
        <w:t xml:space="preserve">"My budget got bigger this year and I need to justify every dollar. I just know Paid Search feels expensive."</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KEY FINDING</w:t>
            </w:r>
          </w:p>
          <w:p>
            <w:r>
              <w:rPr>
                <w:rFonts w:ascii="Calibri" w:cs="Calibri" w:eastAsia="Calibri" w:hAnsi="Calibri"/>
                <w:color w:val="222222"/>
                <w:sz w:val="21"/>
                <w:szCs w:val="21"/>
              </w:rPr>
              <w:t xml:space="preserve">Paid Search (8.82x ROAS, $276.88 CAC) outperforms Social Media (6.69x ROAS, $338.19 CAC) — Marcus's instinct to distrust Paid Search was misdirected. Social Media is both the second-largest spend line and the weakest performer among tracked channels. Email has the highest revenue-per-customer despite modest volume. Referral and Affiliate channels have no cost data recorded — a tracking gap, not a genuinely free channel.</w:t>
            </w:r>
          </w:p>
        </w:tc>
      </w:tr>
    </w:tbl>
    <w:p>
      <w:pPr>
        <w:spacing w:after="120" w:line="276"/>
      </w:pPr>
      <w:r>
        <w:rPr>
          <w:rFonts w:ascii="Calibri" w:cs="Calibri" w:eastAsia="Calibri" w:hAnsi="Calibri"/>
          <w:color w:val="222222"/>
          <w:sz w:val="21"/>
          <w:szCs w:val="21"/>
        </w:rPr>
        <w:t xml:space="preserve"/>
      </w:r>
    </w:p>
    <w:p>
      <w:pPr>
        <w:spacing w:after="60"/>
      </w:pPr>
      <w:r>
        <w:rPr>
          <w:rFonts w:ascii="Calibri" w:cs="Calibri" w:eastAsia="Calibri" w:hAnsi="Calibri"/>
          <w:b/>
          <w:bCs/>
          <w:sz w:val="21"/>
          <w:szCs w:val="21"/>
        </w:rPr>
        <w:t xml:space="preserve">Why this is happening: </w:t>
      </w:r>
    </w:p>
    <w:p>
      <w:pPr>
        <w:spacing w:after="120" w:line="276"/>
      </w:pPr>
      <w:r>
        <w:rPr>
          <w:rFonts w:ascii="Calibri" w:cs="Calibri" w:eastAsia="Calibri" w:hAnsi="Calibri"/>
          <w:color w:val="222222"/>
          <w:sz w:val="21"/>
          <w:szCs w:val="21"/>
        </w:rPr>
        <w:t xml:space="preserve">Budget allocation has likely followed channel popularity or historical habit rather than measured ROAS. Social Media spend has grown without a matching improvement in acquisition efficiency, while Paid Search — the channel under the most internal scrutiny — is actually performing reasonably well.</w:t>
      </w:r>
    </w:p>
    <w:p>
      <w:pPr>
        <w:spacing w:after="60" w:before="100"/>
      </w:pPr>
      <w:r>
        <w:rPr>
          <w:rFonts w:ascii="Calibri" w:cs="Calibri" w:eastAsia="Calibri" w:hAnsi="Calibri"/>
          <w:b/>
          <w:bCs/>
          <w:sz w:val="21"/>
          <w:szCs w:val="21"/>
        </w:rPr>
        <w:t xml:space="preserve">Recommended actions:</w:t>
      </w:r>
    </w:p>
    <w:p>
      <w:pPr>
        <w:pStyle w:val="ListParagraph"/>
        <w:numPr>
          <w:ilvl w:val="0"/>
          <w:numId w:val="2"/>
        </w:numPr>
        <w:spacing w:after="80" w:line="270"/>
      </w:pPr>
      <w:r>
        <w:rPr>
          <w:rFonts w:ascii="Calibri" w:cs="Calibri" w:eastAsia="Calibri" w:hAnsi="Calibri"/>
          <w:color w:val="222222"/>
          <w:sz w:val="21"/>
          <w:szCs w:val="21"/>
        </w:rPr>
        <w:t xml:space="preserve">Reallocate 15–20% of Social Media budget toward Paid Search and Email, the two strongest ROAS performers.</w:t>
      </w:r>
    </w:p>
    <w:p>
      <w:pPr>
        <w:pStyle w:val="ListParagraph"/>
        <w:numPr>
          <w:ilvl w:val="0"/>
          <w:numId w:val="2"/>
        </w:numPr>
        <w:spacing w:after="80" w:line="270"/>
      </w:pPr>
      <w:r>
        <w:rPr>
          <w:rFonts w:ascii="Calibri" w:cs="Calibri" w:eastAsia="Calibri" w:hAnsi="Calibri"/>
          <w:color w:val="222222"/>
          <w:sz w:val="21"/>
          <w:szCs w:val="21"/>
        </w:rPr>
        <w:t xml:space="preserve">Treat Direct channel's 28.6x ROAS with caution — likely brand/awareness spend, not directly attributable; do not scale budget based on this number without proper multi-touch attribution.</w:t>
      </w:r>
    </w:p>
    <w:p>
      <w:pPr>
        <w:pStyle w:val="ListParagraph"/>
        <w:numPr>
          <w:ilvl w:val="0"/>
          <w:numId w:val="2"/>
        </w:numPr>
        <w:spacing w:after="80" w:line="270"/>
      </w:pPr>
      <w:r>
        <w:rPr>
          <w:rFonts w:ascii="Calibri" w:cs="Calibri" w:eastAsia="Calibri" w:hAnsi="Calibri"/>
          <w:color w:val="222222"/>
          <w:sz w:val="21"/>
          <w:szCs w:val="21"/>
        </w:rPr>
        <w:t xml:space="preserve">Close the Referral and Affiliate cost-tracking gap so future ROAS calculations are complete and trustworthy.</w:t>
      </w:r>
    </w:p>
    <w:p>
      <w:pPr>
        <w:pStyle w:val="Heading2"/>
        <w:spacing w:after="100" w:before="240"/>
      </w:pPr>
      <w:r>
        <w:rPr>
          <w:rFonts w:ascii="Calibri" w:cs="Calibri" w:eastAsia="Calibri" w:hAnsi="Calibri"/>
          <w:b/>
          <w:bCs/>
          <w:color w:val="0F6E56"/>
          <w:sz w:val="24"/>
          <w:szCs w:val="24"/>
        </w:rPr>
        <w:t xml:space="preserve">Priya Anand — Head of Merchandising &amp; Category Management</w:t>
      </w:r>
    </w:p>
    <w:p>
      <w:pPr>
        <w:pBdr>
          <w:left w:val="single" w:color="CCCCCC" w:sz="8" w:space="8"/>
        </w:pBdr>
        <w:spacing w:after="150"/>
        <w:ind w:left="300"/>
      </w:pPr>
      <w:r>
        <w:rPr>
          <w:rFonts w:ascii="Calibri" w:cs="Calibri" w:eastAsia="Calibri" w:hAnsi="Calibri"/>
          <w:i/>
          <w:iCs/>
          <w:color w:val="5F5E5A"/>
          <w:sz w:val="20"/>
          <w:szCs w:val="20"/>
        </w:rPr>
        <w:t xml:space="preserve">"I need to know what's actually selling and what's actually profitable — those aren't always the same thing."</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KEY FINDING</w:t>
            </w:r>
          </w:p>
          <w:p>
            <w:r>
              <w:rPr>
                <w:rFonts w:ascii="Calibri" w:cs="Calibri" w:eastAsia="Calibri" w:hAnsi="Calibri"/>
                <w:color w:val="222222"/>
                <w:sz w:val="21"/>
                <w:szCs w:val="21"/>
              </w:rPr>
              <w:t xml:space="preserve">Electronics drives 45% of total revenue ($7.82M) but converts it to profit at only 28.7% margin — the weakest in the portfolio. Beauty &amp; Personal Care converts revenue to profit more than twice as efficiently (58.4% margin) but is one of UrbanCart's smallest categories. Discount rates are consistent across every category (~9%), ruling out over-discounting as the cause of Electronics' weak margin.</w:t>
            </w:r>
          </w:p>
        </w:tc>
      </w:tr>
    </w:tbl>
    <w:p>
      <w:pPr>
        <w:spacing w:after="120" w:line="276"/>
      </w:pPr>
      <w:r>
        <w:rPr>
          <w:rFonts w:ascii="Calibri" w:cs="Calibri" w:eastAsia="Calibri" w:hAnsi="Calibri"/>
          <w:color w:val="222222"/>
          <w:sz w:val="21"/>
          <w:szCs w:val="21"/>
        </w:rPr>
        <w:t xml:space="preserve"/>
      </w:r>
    </w:p>
    <w:p>
      <w:pPr>
        <w:spacing w:after="60"/>
      </w:pPr>
      <w:r>
        <w:rPr>
          <w:rFonts w:ascii="Calibri" w:cs="Calibri" w:eastAsia="Calibri" w:hAnsi="Calibri"/>
          <w:b/>
          <w:bCs/>
          <w:sz w:val="21"/>
          <w:szCs w:val="21"/>
        </w:rPr>
        <w:t xml:space="preserve">Why this is happening: </w:t>
      </w:r>
    </w:p>
    <w:p>
      <w:pPr>
        <w:spacing w:after="120" w:line="276"/>
      </w:pPr>
      <w:r>
        <w:rPr>
          <w:rFonts w:ascii="Calibri" w:cs="Calibri" w:eastAsia="Calibri" w:hAnsi="Calibri"/>
          <w:color w:val="222222"/>
          <w:sz w:val="21"/>
          <w:szCs w:val="21"/>
        </w:rPr>
        <w:t xml:space="preserve">This is a structural cost problem, not a promotional one. Because discount rates are flat and healthy across categories, the margin gap in Electronics comes from the underlying cost-to-price ratio (likely supplier cost or category-typical pricing pressure), not from excessive couponing or markdowns.</w:t>
      </w:r>
    </w:p>
    <w:p>
      <w:pPr>
        <w:spacing w:after="60" w:before="100"/>
      </w:pPr>
      <w:r>
        <w:rPr>
          <w:rFonts w:ascii="Calibri" w:cs="Calibri" w:eastAsia="Calibri" w:hAnsi="Calibri"/>
          <w:b/>
          <w:bCs/>
          <w:sz w:val="21"/>
          <w:szCs w:val="21"/>
        </w:rPr>
        <w:t xml:space="preserve">Recommended actions:</w:t>
      </w:r>
    </w:p>
    <w:p>
      <w:pPr>
        <w:pStyle w:val="ListParagraph"/>
        <w:numPr>
          <w:ilvl w:val="0"/>
          <w:numId w:val="2"/>
        </w:numPr>
        <w:spacing w:after="80" w:line="270"/>
      </w:pPr>
      <w:r>
        <w:rPr>
          <w:rFonts w:ascii="Calibri" w:cs="Calibri" w:eastAsia="Calibri" w:hAnsi="Calibri"/>
          <w:color w:val="222222"/>
          <w:sz w:val="21"/>
          <w:szCs w:val="21"/>
        </w:rPr>
        <w:t xml:space="preserve">Do not chase further Electronics volume growth — it is a low-margin treadmill relative to other categories.</w:t>
      </w:r>
    </w:p>
    <w:p>
      <w:pPr>
        <w:pStyle w:val="ListParagraph"/>
        <w:numPr>
          <w:ilvl w:val="0"/>
          <w:numId w:val="2"/>
        </w:numPr>
        <w:spacing w:after="80" w:line="270"/>
      </w:pPr>
      <w:r>
        <w:rPr>
          <w:rFonts w:ascii="Calibri" w:cs="Calibri" w:eastAsia="Calibri" w:hAnsi="Calibri"/>
          <w:color w:val="222222"/>
          <w:sz w:val="21"/>
          <w:szCs w:val="21"/>
        </w:rPr>
        <w:t xml:space="preserve">Actively grow Beauty &amp; Personal Care and Books &amp; Stationery through bundling and cross-sell placement.</w:t>
      </w:r>
    </w:p>
    <w:p>
      <w:pPr>
        <w:pStyle w:val="ListParagraph"/>
        <w:numPr>
          <w:ilvl w:val="0"/>
          <w:numId w:val="2"/>
        </w:numPr>
        <w:spacing w:after="80" w:line="270"/>
      </w:pPr>
      <w:r>
        <w:rPr>
          <w:rFonts w:ascii="Calibri" w:cs="Calibri" w:eastAsia="Calibri" w:hAnsi="Calibri"/>
          <w:color w:val="222222"/>
          <w:sz w:val="21"/>
          <w:szCs w:val="21"/>
        </w:rPr>
        <w:t xml:space="preserve">Audit Electronics supplier cost structure and renegotiate where possible, rather than relying on discounting to drive volume.</w:t>
      </w:r>
    </w:p>
    <w:p>
      <w:pPr>
        <w:pStyle w:val="Heading2"/>
        <w:spacing w:after="100" w:before="240"/>
      </w:pPr>
      <w:r>
        <w:rPr>
          <w:rFonts w:ascii="Calibri" w:cs="Calibri" w:eastAsia="Calibri" w:hAnsi="Calibri"/>
          <w:b/>
          <w:bCs/>
          <w:color w:val="0F6E56"/>
          <w:sz w:val="24"/>
          <w:szCs w:val="24"/>
        </w:rPr>
        <w:t xml:space="preserve">Daniel Osei — Director of Customer Experience &amp; Support</w:t>
      </w:r>
    </w:p>
    <w:p>
      <w:pPr>
        <w:pBdr>
          <w:left w:val="single" w:color="CCCCCC" w:sz="8" w:space="8"/>
        </w:pBdr>
        <w:spacing w:after="150"/>
        <w:ind w:left="300"/>
      </w:pPr>
      <w:r>
        <w:rPr>
          <w:rFonts w:ascii="Calibri" w:cs="Calibri" w:eastAsia="Calibri" w:hAnsi="Calibri"/>
          <w:i/>
          <w:iCs/>
          <w:color w:val="5F5E5A"/>
          <w:sz w:val="20"/>
          <w:szCs w:val="20"/>
        </w:rPr>
        <w:t xml:space="preserve">"I can't tell if the growing support queue is because we're simply selling more, or because something specific is getting worse."</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KEY FINDING</w:t>
            </w:r>
          </w:p>
          <w:p>
            <w:r>
              <w:rPr>
                <w:rFonts w:ascii="Calibri" w:cs="Calibri" w:eastAsia="Calibri" w:hAnsi="Calibri"/>
                <w:color w:val="222222"/>
                <w:sz w:val="21"/>
                <w:szCs w:val="21"/>
              </w:rPr>
              <w:t xml:space="preserve">Delivery speed shows minimal correlation with either support ticket volume (11.9%–13.2% ticket rate across every delivery-time bucket) or satisfaction (3.04–3.09 out of 5, nearly flat). Payment Issues (2.96 satisfaction) and Account Issues (3.01) are the true lowest-satisfaction categories — well below Late Delivery (3.05). The combined cancellation and return rate sits at 19.3% with no worsening trend; monthly fluctuations track seasonal order volume (Nov/Dec spikes), not a degrading operation.</w:t>
            </w:r>
          </w:p>
        </w:tc>
      </w:tr>
    </w:tbl>
    <w:p>
      <w:pPr>
        <w:spacing w:after="120" w:line="276"/>
      </w:pPr>
      <w:r>
        <w:rPr>
          <w:rFonts w:ascii="Calibri" w:cs="Calibri" w:eastAsia="Calibri" w:hAnsi="Calibri"/>
          <w:color w:val="222222"/>
          <w:sz w:val="21"/>
          <w:szCs w:val="21"/>
        </w:rPr>
        <w:t xml:space="preserve"/>
      </w:r>
    </w:p>
    <w:p>
      <w:pPr>
        <w:spacing w:after="60"/>
      </w:pPr>
      <w:r>
        <w:rPr>
          <w:rFonts w:ascii="Calibri" w:cs="Calibri" w:eastAsia="Calibri" w:hAnsi="Calibri"/>
          <w:b/>
          <w:bCs/>
          <w:sz w:val="21"/>
          <w:szCs w:val="21"/>
        </w:rPr>
        <w:t xml:space="preserve">Why this is happening: </w:t>
      </w:r>
    </w:p>
    <w:p>
      <w:pPr>
        <w:spacing w:after="120" w:line="276"/>
      </w:pPr>
      <w:r>
        <w:rPr>
          <w:rFonts w:ascii="Calibri" w:cs="Calibri" w:eastAsia="Calibri" w:hAnsi="Calibri"/>
          <w:color w:val="222222"/>
          <w:sz w:val="21"/>
          <w:szCs w:val="21"/>
        </w:rPr>
        <w:t xml:space="preserve">The support queue is growing because order volume is growing, not because service quality is declining. Daniel's instinct to investigate delivery performance is reasonable but not where the evidence points — the actual friction is in payment processing and account management, areas not traditionally owned by logistics or fulfillment teams.</w:t>
      </w:r>
    </w:p>
    <w:p>
      <w:pPr>
        <w:spacing w:after="60" w:before="100"/>
      </w:pPr>
      <w:r>
        <w:rPr>
          <w:rFonts w:ascii="Calibri" w:cs="Calibri" w:eastAsia="Calibri" w:hAnsi="Calibri"/>
          <w:b/>
          <w:bCs/>
          <w:sz w:val="21"/>
          <w:szCs w:val="21"/>
        </w:rPr>
        <w:t xml:space="preserve">Recommended actions:</w:t>
      </w:r>
    </w:p>
    <w:p>
      <w:pPr>
        <w:pStyle w:val="ListParagraph"/>
        <w:numPr>
          <w:ilvl w:val="0"/>
          <w:numId w:val="2"/>
        </w:numPr>
        <w:spacing w:after="80" w:line="270"/>
      </w:pPr>
      <w:r>
        <w:rPr>
          <w:rFonts w:ascii="Calibri" w:cs="Calibri" w:eastAsia="Calibri" w:hAnsi="Calibri"/>
          <w:color w:val="222222"/>
          <w:sz w:val="21"/>
          <w:szCs w:val="21"/>
        </w:rPr>
        <w:t xml:space="preserve">Redirect investigation and improvement budget away from delivery-speed initiatives — the data does not support them as a priority driver of dissatisfaction.</w:t>
      </w:r>
    </w:p>
    <w:p>
      <w:pPr>
        <w:pStyle w:val="ListParagraph"/>
        <w:numPr>
          <w:ilvl w:val="0"/>
          <w:numId w:val="2"/>
        </w:numPr>
        <w:spacing w:after="80" w:line="270"/>
      </w:pPr>
      <w:r>
        <w:rPr>
          <w:rFonts w:ascii="Calibri" w:cs="Calibri" w:eastAsia="Calibri" w:hAnsi="Calibri"/>
          <w:color w:val="222222"/>
          <w:sz w:val="21"/>
          <w:szCs w:val="21"/>
        </w:rPr>
        <w:t xml:space="preserve">Conduct a focused UX and reliability review of payment flow and account management, the two lowest-satisfaction issue types.</w:t>
      </w:r>
    </w:p>
    <w:p>
      <w:pPr>
        <w:pStyle w:val="ListParagraph"/>
        <w:numPr>
          <w:ilvl w:val="0"/>
          <w:numId w:val="2"/>
        </w:numPr>
        <w:spacing w:after="80" w:line="270"/>
      </w:pPr>
      <w:r>
        <w:rPr>
          <w:rFonts w:ascii="Calibri" w:cs="Calibri" w:eastAsia="Calibri" w:hAnsi="Calibri"/>
          <w:color w:val="222222"/>
          <w:sz w:val="21"/>
          <w:szCs w:val="21"/>
        </w:rPr>
        <w:t xml:space="preserve">Reassure leadership that the 19.3% cancel/return rate, while worth reducing, is not trending upward — it is a stable baseline tied to seasonal volume.</w:t>
      </w:r>
    </w:p>
    <w:p>
      <w:r>
        <w:br w:type="page"/>
      </w:r>
    </w:p>
    <w:p>
      <w:pPr>
        <w:pStyle w:val="Heading1"/>
        <w:pBdr>
          <w:bottom w:val="single" w:color="0C447C" w:sz="8" w:space="4"/>
        </w:pBdr>
        <w:spacing w:after="150" w:before="300"/>
      </w:pPr>
      <w:r>
        <w:rPr>
          <w:rFonts w:ascii="Calibri" w:cs="Calibri" w:eastAsia="Calibri" w:hAnsi="Calibri"/>
          <w:b/>
          <w:bCs/>
          <w:color w:val="0C447C"/>
          <w:sz w:val="30"/>
          <w:szCs w:val="30"/>
        </w:rPr>
        <w:t xml:space="preserve">Data Quality &amp; Limitations</w:t>
      </w:r>
    </w:p>
    <w:p>
      <w:pPr>
        <w:spacing w:after="120" w:line="276"/>
      </w:pPr>
      <w:r>
        <w:rPr>
          <w:rFonts w:ascii="Calibri" w:cs="Calibri" w:eastAsia="Calibri" w:hAnsi="Calibri"/>
          <w:color w:val="222222"/>
          <w:sz w:val="21"/>
          <w:szCs w:val="21"/>
        </w:rPr>
        <w:t xml:space="preserve">The following data quality issues were identified during this analysis and are disclosed here for transparency. None materially change the conclusions above, but each should be addressed before deeper analysis (e.g., customer lifetime value modeling) is attempted.</w:t>
      </w:r>
    </w:p>
    <w:p>
      <w:pPr>
        <w:pStyle w:val="Heading2"/>
        <w:spacing w:after="100" w:before="240"/>
      </w:pPr>
      <w:r>
        <w:rPr>
          <w:rFonts w:ascii="Calibri" w:cs="Calibri" w:eastAsia="Calibri" w:hAnsi="Calibri"/>
          <w:b/>
          <w:bCs/>
          <w:color w:val="0F6E56"/>
          <w:sz w:val="24"/>
          <w:szCs w:val="24"/>
        </w:rPr>
        <w:t xml:space="preserve">1. Unattributed Marketing Channel</w:t>
      </w:r>
    </w:p>
    <w:p>
      <w:pPr>
        <w:spacing w:after="120" w:line="276"/>
      </w:pPr>
      <w:r>
        <w:rPr>
          <w:rFonts w:ascii="Calibri" w:cs="Calibri" w:eastAsia="Calibri" w:hAnsi="Calibri"/>
          <w:color w:val="222222"/>
          <w:sz w:val="21"/>
          <w:szCs w:val="21"/>
        </w:rPr>
        <w:t xml:space="preserve">96 customers have a NULL acquisition_channel_key, representing $79,691 in revenue currently invisible in all channel-based reporting on the Marketing page — these customers do not appear as a row, they are silently excluded rather than shown as "Unknown."</w:t>
      </w:r>
    </w:p>
    <w:p>
      <w:pPr>
        <w:pStyle w:val="Heading2"/>
        <w:spacing w:after="100" w:before="240"/>
      </w:pPr>
      <w:r>
        <w:rPr>
          <w:rFonts w:ascii="Calibri" w:cs="Calibri" w:eastAsia="Calibri" w:hAnsi="Calibri"/>
          <w:b/>
          <w:bCs/>
          <w:color w:val="0F6E56"/>
          <w:sz w:val="24"/>
          <w:szCs w:val="24"/>
        </w:rPr>
        <w:t xml:space="preserve">2. Shared Placeholder Customer ID</w:t>
      </w:r>
    </w:p>
    <w:p>
      <w:pPr>
        <w:spacing w:after="120" w:line="276"/>
      </w:pPr>
      <w:r>
        <w:rPr>
          <w:rFonts w:ascii="Calibri" w:cs="Calibri" w:eastAsia="Calibri" w:hAnsi="Calibri"/>
          <w:color w:val="222222"/>
          <w:sz w:val="21"/>
          <w:szCs w:val="21"/>
        </w:rPr>
        <w:t xml:space="preserve">A separate set of 96 orders share a single placeholder customer_id under the "Unknown" channel. This means Power BI currently reports them as 1 customer rather than up to 96 distinct individuals, understating customer counts and distorting any per-customer metric (e.g., CAC) calculated for that segment.</w:t>
      </w:r>
    </w:p>
    <w:p>
      <w:pPr>
        <w:pStyle w:val="Heading2"/>
        <w:spacing w:after="100" w:before="240"/>
      </w:pPr>
      <w:r>
        <w:rPr>
          <w:rFonts w:ascii="Calibri" w:cs="Calibri" w:eastAsia="Calibri" w:hAnsi="Calibri"/>
          <w:b/>
          <w:bCs/>
          <w:color w:val="0F6E56"/>
          <w:sz w:val="24"/>
          <w:szCs w:val="24"/>
        </w:rPr>
        <w:t xml:space="preserve">3. Unresolved Customer Reference (Executive Page)</w:t>
      </w:r>
    </w:p>
    <w:p>
      <w:pPr>
        <w:spacing w:after="120" w:line="276"/>
      </w:pPr>
      <w:r>
        <w:rPr>
          <w:rFonts w:ascii="Calibri" w:cs="Calibri" w:eastAsia="Calibri" w:hAnsi="Calibri"/>
          <w:color w:val="222222"/>
          <w:sz w:val="21"/>
          <w:szCs w:val="21"/>
        </w:rPr>
        <w:t xml:space="preserve">$75,233.37 in revenue across 84 orders is attributed to a customer_id value of "UNKNOWN" in the source data — a broken customer reference that could not be resolved during cleaning.</w:t>
      </w:r>
    </w:p>
    <w:tbl>
      <w:tblPr>
        <w:tblW w:type="pct" w:w="100%"/>
        <w:tblBorders>
          <w:top w:val="single" w:color="0F6E56" w:sz="4"/>
          <w:left w:val="single" w:color="0F6E56" w:sz="24"/>
          <w:bottom w:val="single" w:color="0F6E56" w:sz="4"/>
          <w:right w:val="nil"/>
          <w:insideH w:val="nil"/>
          <w:insideV w:val="nil"/>
        </w:tblBorders>
      </w:tblPr>
      <w:tblGrid>
        <w:gridCol w:w="100"/>
      </w:tblGrid>
      <w:tr>
        <w:tc>
          <w:tcPr>
            <w:shd w:fill="F2F2F0" w:color="auto" w:val="clear"/>
            <w:tcMar>
              <w:top w:type="dxa" w:w="150"/>
              <w:left w:type="dxa" w:w="200"/>
              <w:bottom w:type="dxa" w:w="150"/>
              <w:right w:type="dxa" w:w="200"/>
            </w:tcMar>
          </w:tcPr>
          <w:p>
            <w:pPr>
              <w:spacing w:after="60"/>
            </w:pPr>
            <w:r>
              <w:rPr>
                <w:rFonts w:ascii="Calibri" w:cs="Calibri" w:eastAsia="Calibri" w:hAnsi="Calibri"/>
                <w:b/>
                <w:bCs/>
                <w:color w:val="0F6E56"/>
                <w:sz w:val="18"/>
                <w:szCs w:val="18"/>
              </w:rPr>
              <w:t xml:space="preserve">RECOMMENDATION</w:t>
            </w:r>
          </w:p>
          <w:p>
            <w:r>
              <w:rPr>
                <w:rFonts w:ascii="Calibri" w:cs="Calibri" w:eastAsia="Calibri" w:hAnsi="Calibri"/>
                <w:color w:val="222222"/>
                <w:sz w:val="21"/>
                <w:szCs w:val="21"/>
              </w:rPr>
              <w:t xml:space="preserve">Route all three issues to data engineering as a prioritized backlog item: assign proper unique customer IDs at the source system, and investigate why channel attribution fails to populate for this subset of records.</w:t>
            </w:r>
          </w:p>
        </w:tc>
      </w:tr>
    </w:tbl>
    <w:p>
      <w:r>
        <w:br w:type="page"/>
      </w:r>
    </w:p>
    <w:p>
      <w:pPr>
        <w:pStyle w:val="Heading1"/>
        <w:pBdr>
          <w:bottom w:val="single" w:color="0C447C" w:sz="8" w:space="4"/>
        </w:pBdr>
        <w:spacing w:after="150" w:before="300"/>
      </w:pPr>
      <w:r>
        <w:rPr>
          <w:rFonts w:ascii="Calibri" w:cs="Calibri" w:eastAsia="Calibri" w:hAnsi="Calibri"/>
          <w:b/>
          <w:bCs/>
          <w:color w:val="0C447C"/>
          <w:sz w:val="30"/>
          <w:szCs w:val="30"/>
        </w:rPr>
        <w:t xml:space="preserve">Prioritized Recommendations</w:t>
      </w:r>
    </w:p>
    <w:p>
      <w:pPr>
        <w:spacing w:after="120" w:line="276"/>
      </w:pPr>
      <w:r>
        <w:rPr>
          <w:rFonts w:ascii="Calibri" w:cs="Calibri" w:eastAsia="Calibri" w:hAnsi="Calibri"/>
          <w:color w:val="222222"/>
          <w:sz w:val="21"/>
          <w:szCs w:val="21"/>
        </w:rPr>
        <w:t xml:space="preserve">Ranked by expected impact on profit and defensibility of the underlying evidence:</w:t>
      </w:r>
    </w:p>
    <w:p>
      <w:pPr>
        <w:pStyle w:val="ListParagraph"/>
        <w:numPr>
          <w:ilvl w:val="0"/>
          <w:numId w:val="2"/>
        </w:numPr>
        <w:spacing w:after="80" w:line="270"/>
      </w:pPr>
      <w:r>
        <w:rPr>
          <w:rFonts w:ascii="Calibri" w:cs="Calibri" w:eastAsia="Calibri" w:hAnsi="Calibri"/>
          <w:b/>
          <w:bCs/>
          <w:color w:val="222222"/>
          <w:sz w:val="21"/>
          <w:szCs w:val="21"/>
        </w:rPr>
        <w:t xml:space="preserve">1. Shift merchandising strategy from revenue growth to margin growth — de-prioritize Electronics volume, invest in Beauty &amp; Personal Care and Books &amp; Stationery.</w:t>
      </w:r>
    </w:p>
    <w:p>
      <w:pPr>
        <w:pStyle w:val="ListParagraph"/>
        <w:numPr>
          <w:ilvl w:val="0"/>
          <w:numId w:val="2"/>
        </w:numPr>
        <w:spacing w:after="80" w:line="270"/>
      </w:pPr>
      <w:r>
        <w:rPr>
          <w:rFonts w:ascii="Calibri" w:cs="Calibri" w:eastAsia="Calibri" w:hAnsi="Calibri"/>
          <w:b/>
          <w:bCs/>
          <w:color w:val="222222"/>
          <w:sz w:val="21"/>
          <w:szCs w:val="21"/>
        </w:rPr>
        <w:t xml:space="preserve">2. Reallocate marketing budget from Social Media toward Paid Search and Email based on measured ROAS, not channel popularity.</w:t>
      </w:r>
    </w:p>
    <w:p>
      <w:pPr>
        <w:pStyle w:val="ListParagraph"/>
        <w:numPr>
          <w:ilvl w:val="0"/>
          <w:numId w:val="2"/>
        </w:numPr>
        <w:spacing w:after="80" w:line="270"/>
      </w:pPr>
      <w:r>
        <w:rPr>
          <w:rFonts w:ascii="Calibri" w:cs="Calibri" w:eastAsia="Calibri" w:hAnsi="Calibri"/>
          <w:b/>
          <w:bCs/>
          <w:color w:val="222222"/>
          <w:sz w:val="21"/>
          <w:szCs w:val="21"/>
        </w:rPr>
        <w:t xml:space="preserve">3. Investigate payment and account management UX as the actual driver of customer dissatisfaction, deprioritizing delivery-speed initiatives.</w:t>
      </w:r>
    </w:p>
    <w:p>
      <w:pPr>
        <w:pStyle w:val="ListParagraph"/>
        <w:numPr>
          <w:ilvl w:val="0"/>
          <w:numId w:val="2"/>
        </w:numPr>
        <w:spacing w:after="80" w:line="270"/>
      </w:pPr>
      <w:r>
        <w:rPr>
          <w:rFonts w:ascii="Calibri" w:cs="Calibri" w:eastAsia="Calibri" w:hAnsi="Calibri"/>
          <w:b/>
          <w:bCs/>
          <w:color w:val="222222"/>
          <w:sz w:val="21"/>
          <w:szCs w:val="21"/>
        </w:rPr>
        <w:t xml:space="preserve">4. Build a real customer retention program targeting the "At Risk" segment before churn compounds — the customer base lacks a concentrated VIP core to fall back on.</w:t>
      </w:r>
    </w:p>
    <w:p>
      <w:pPr>
        <w:pStyle w:val="ListParagraph"/>
        <w:numPr>
          <w:ilvl w:val="0"/>
          <w:numId w:val="2"/>
        </w:numPr>
        <w:spacing w:after="80" w:line="270"/>
      </w:pPr>
      <w:r>
        <w:rPr>
          <w:rFonts w:ascii="Calibri" w:cs="Calibri" w:eastAsia="Calibri" w:hAnsi="Calibri"/>
          <w:b/>
          <w:bCs/>
          <w:color w:val="222222"/>
          <w:sz w:val="21"/>
          <w:szCs w:val="21"/>
        </w:rPr>
        <w:t xml:space="preserve">5. Resolve the three data quality issues above before undertaking any customer lifetime value or attribution-dependent analysis.</w:t>
      </w:r>
    </w:p>
    <w:p>
      <w:pPr>
        <w:spacing w:after="120" w:line="276"/>
      </w:pPr>
      <w:r>
        <w:rPr>
          <w:rFonts w:ascii="Calibri" w:cs="Calibri" w:eastAsia="Calibri" w:hAnsi="Calibri"/>
          <w:color w:val="222222"/>
          <w:sz w:val="21"/>
          <w:szCs w:val="21"/>
        </w:rPr>
        <w:t xml:space="preserve"/>
      </w:r>
    </w:p>
    <w:p>
      <w:pPr>
        <w:spacing w:after="120" w:line="276"/>
      </w:pPr>
      <w:r>
        <w:rPr>
          <w:rFonts w:ascii="Calibri" w:cs="Calibri" w:eastAsia="Calibri" w:hAnsi="Calibri"/>
          <w:i/>
          <w:iCs/>
          <w:color w:val="5F5E5A"/>
          <w:sz w:val="21"/>
          <w:szCs w:val="21"/>
        </w:rPr>
        <w:t xml:space="preserve">This report and the accompanying Power BI dashboard are intended to give each functional leader a self-service view of their area going forward. Recommended follow-up analytics — predictive churn modeling, inventory forecasting, and marketing mix modeling — are outlined separately in the Phase 2 proposal.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6"/>
        <w:szCs w:val="16"/>
      </w:rPr>
      <w:t xml:space="preserve">Page </w:t>
    </w:r>
    <w:r>
      <w:rPr>
        <w:rFonts w:ascii="Calibri" w:cs="Calibri" w:eastAsia="Calibr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5F5E5A"/>
        <w:sz w:val="16"/>
        <w:szCs w:val="16"/>
      </w:rPr>
      <w:t xml:space="preserve">UrbanCart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2026-08-08T15:07:26.666Z</dcterms:created>
  <dcterms:modified xsi:type="dcterms:W3CDTF">2026-08-08T15:07:26.681Z</dcterms:modified>
</cp:coreProperties>
</file>

<file path=docProps/custom.xml><?xml version="1.0" encoding="utf-8"?>
<Properties xmlns="http://schemas.openxmlformats.org/officeDocument/2006/custom-properties" xmlns:vt="http://schemas.openxmlformats.org/officeDocument/2006/docPropsVTypes"/>
</file>