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600"/>
      </w:pPr>
      <w:r>
        <w:t xml:space="preserve"/>
      </w:r>
    </w:p>
    <w:p>
      <w:pPr>
        <w:spacing w:after="100" w:before="0"/>
        <w:jc w:val="center"/>
      </w:pPr>
      <w:r>
        <w:rPr>
          <w:rFonts w:ascii="Calibri" w:cs="Calibri" w:eastAsia="Calibri" w:hAnsi="Calibri"/>
          <w:b/>
          <w:bCs/>
          <w:color w:val="1E3A5F"/>
          <w:sz w:val="80"/>
          <w:szCs w:val="80"/>
        </w:rPr>
        <w:t xml:space="preserve">StockIQ Pakistan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2E86AB"/>
          <w:sz w:val="32"/>
          <w:szCs w:val="32"/>
        </w:rPr>
        <w:t xml:space="preserve">Milestone 1 — Complete Product Specification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color w:val="2E86AB"/>
          <w:sz w:val="20"/>
          <w:szCs w:val="20"/>
        </w:rPr>
        <w:t xml:space="preserve">━━━━━━━━━━━━━━━━━━━━━━━━━━━━━━━━━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Ticker Universe  •  Scoring System  •  PSX Benchmarks  •  Strategy Presets</w:t>
      </w:r>
    </w:p>
    <w:p>
      <w:pPr>
        <w:spacing w:after="400" w:before="0"/>
        <w:jc w:val="center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Verdict Labels  •  P&amp;L Methodology  •  Thesis Tracker  •  Module Wireframes</w:t>
      </w:r>
    </w:p>
    <w:p>
      <w:pPr>
        <w:spacing w:after="200" w:before="20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Version 1.0  |  2025  |  NexusGrades / Saif Iqbal</w:t>
      </w:r>
    </w:p>
    <w:p>
      <w:r>
        <w:br w:type="page"/>
      </w:r>
    </w:p>
    <w:p>
      <w:pPr>
        <w:pBdr>
          <w:bottom w:val="single" w:color="2E86AB" w:sz="10"/>
        </w:pBdr>
        <w:spacing w:after="200" w:before="460"/>
      </w:pPr>
      <w:r>
        <w:rPr>
          <w:rFonts w:ascii="Calibri" w:cs="Calibri" w:eastAsia="Calibri" w:hAnsi="Calibri"/>
          <w:b/>
          <w:bCs/>
          <w:color w:val="1E3A5F"/>
          <w:sz w:val="40"/>
          <w:szCs w:val="40"/>
        </w:rPr>
        <w:t xml:space="preserve">Section 1 — PSX Ticker Universe</w:t>
      </w:r>
    </w:p>
    <w:p>
      <w:pPr>
        <w:spacing w:after="65" w:before="6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StockIQ covers all KSE-100 and KSE All-Share listed companies. KSE-100 is the primary focus for MVP — top 100 companies by market cap. KSE All-Share expands coverage post-MVP.</w:t>
      </w:r>
    </w:p>
    <w:p>
      <w:pPr>
        <w:spacing w:after="80" w:before="80"/>
      </w:pPr>
      <w:r>
        <w:t xml:space="preserve"/>
      </w:r>
    </w:p>
    <w:p>
      <w:pPr>
        <w:spacing w:after="140" w:before="300"/>
      </w:pPr>
      <w:r>
        <w:rPr>
          <w:rFonts w:ascii="Calibri" w:cs="Calibri" w:eastAsia="Calibri" w:hAnsi="Calibri"/>
          <w:b/>
          <w:bCs/>
          <w:color w:val="2E86AB"/>
          <w:sz w:val="30"/>
          <w:szCs w:val="30"/>
        </w:rPr>
        <w:t xml:space="preserve">1.1 KSE-100 — Sector Breakdown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1500"/>
        <w:gridCol w:w="1500"/>
      </w:tblGrid>
      <w:tr>
        <w:tc>
          <w:tcPr>
            <w:tcW w:type="dxa" w:w="22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Sector</w:t>
            </w:r>
          </w:p>
        </w:tc>
        <w:tc>
          <w:tcPr>
            <w:tcW w:type="dxa" w:w="38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Major Tickers</w:t>
            </w:r>
          </w:p>
        </w:tc>
        <w:tc>
          <w:tcPr>
            <w:tcW w:type="dxa" w:w="15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No. of Companies</w:t>
            </w:r>
          </w:p>
        </w:tc>
        <w:tc>
          <w:tcPr>
            <w:tcW w:type="dxa" w:w="15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2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Oil &amp; Gas Exploration</w:t>
            </w:r>
          </w:p>
        </w:tc>
        <w:tc>
          <w:tcPr>
            <w:tcW w:type="dxa" w:w="38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OGDC, PPL, POL, MARI</w:t>
            </w:r>
          </w:p>
        </w:tc>
        <w:tc>
          <w:tcPr>
            <w:tcW w:type="dxa" w:w="15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Oil &amp; Gas Marketing</w:t>
            </w:r>
          </w:p>
        </w:tc>
        <w:tc>
          <w:tcPr>
            <w:tcW w:type="dxa" w:w="38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PSO, APL, HASCOL, SHEL</w:t>
            </w:r>
          </w:p>
        </w:tc>
        <w:tc>
          <w:tcPr>
            <w:tcW w:type="dxa" w:w="15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22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Banks</w:t>
            </w:r>
          </w:p>
        </w:tc>
        <w:tc>
          <w:tcPr>
            <w:tcW w:type="dxa" w:w="38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HBL, UBL, MCB, ABL, BAHL, MEBL, NBP, BAFL</w:t>
            </w:r>
          </w:p>
        </w:tc>
        <w:tc>
          <w:tcPr>
            <w:tcW w:type="dxa" w:w="15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12</w:t>
            </w:r>
          </w:p>
        </w:tc>
        <w:tc>
          <w:tcPr>
            <w:tcW w:type="dxa" w:w="15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Fertilizer</w:t>
            </w:r>
          </w:p>
        </w:tc>
        <w:tc>
          <w:tcPr>
            <w:tcW w:type="dxa" w:w="38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ENGRO, FATIMA, FFC, FFBL, EFERT</w:t>
            </w:r>
          </w:p>
        </w:tc>
        <w:tc>
          <w:tcPr>
            <w:tcW w:type="dxa" w:w="15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22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Cement</w:t>
            </w:r>
          </w:p>
        </w:tc>
        <w:tc>
          <w:tcPr>
            <w:tcW w:type="dxa" w:w="38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LUCK, DGKC, MLCF, PIOC, CHCC, FCCL, KOHC</w:t>
            </w:r>
          </w:p>
        </w:tc>
        <w:tc>
          <w:tcPr>
            <w:tcW w:type="dxa" w:w="15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8</w:t>
            </w:r>
          </w:p>
        </w:tc>
        <w:tc>
          <w:tcPr>
            <w:tcW w:type="dxa" w:w="15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Power</w:t>
            </w:r>
          </w:p>
        </w:tc>
        <w:tc>
          <w:tcPr>
            <w:tcW w:type="dxa" w:w="38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HUBC, KAPCO, NCPL, KEL, NPL</w:t>
            </w:r>
          </w:p>
        </w:tc>
        <w:tc>
          <w:tcPr>
            <w:tcW w:type="dxa" w:w="15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22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Textile</w:t>
            </w:r>
          </w:p>
        </w:tc>
        <w:tc>
          <w:tcPr>
            <w:tcW w:type="dxa" w:w="38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NML, NCL, GATM, CLCPS</w:t>
            </w:r>
          </w:p>
        </w:tc>
        <w:tc>
          <w:tcPr>
            <w:tcW w:type="dxa" w:w="15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Chemicals</w:t>
            </w:r>
          </w:p>
        </w:tc>
        <w:tc>
          <w:tcPr>
            <w:tcW w:type="dxa" w:w="38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ICI, SEARL, AGP</w:t>
            </w:r>
          </w:p>
        </w:tc>
        <w:tc>
          <w:tcPr>
            <w:tcW w:type="dxa" w:w="15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22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Technology</w:t>
            </w:r>
          </w:p>
        </w:tc>
        <w:tc>
          <w:tcPr>
            <w:tcW w:type="dxa" w:w="38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TRG, SYS, AVN, NETSOL</w:t>
            </w:r>
          </w:p>
        </w:tc>
        <w:tc>
          <w:tcPr>
            <w:tcW w:type="dxa" w:w="15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Food &amp; FMCG</w:t>
            </w:r>
          </w:p>
        </w:tc>
        <w:tc>
          <w:tcPr>
            <w:tcW w:type="dxa" w:w="38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NESTLE, UNILEVER, COLG, PTC</w:t>
            </w:r>
          </w:p>
        </w:tc>
        <w:tc>
          <w:tcPr>
            <w:tcW w:type="dxa" w:w="15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22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Steel</w:t>
            </w:r>
          </w:p>
        </w:tc>
        <w:tc>
          <w:tcPr>
            <w:tcW w:type="dxa" w:w="38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ASTL, ISL, MUGHAL</w:t>
            </w:r>
          </w:p>
        </w:tc>
        <w:tc>
          <w:tcPr>
            <w:tcW w:type="dxa" w:w="15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Insurance</w:t>
            </w:r>
          </w:p>
        </w:tc>
        <w:tc>
          <w:tcPr>
            <w:tcW w:type="dxa" w:w="38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JUBILEE, EFU, IGI</w:t>
            </w:r>
          </w:p>
        </w:tc>
        <w:tc>
          <w:tcPr>
            <w:tcW w:type="dxa" w:w="15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22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Pharma</w:t>
            </w:r>
          </w:p>
        </w:tc>
        <w:tc>
          <w:tcPr>
            <w:tcW w:type="dxa" w:w="38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SEARL, FEROZ, HINOON, GLAXO</w:t>
            </w:r>
          </w:p>
        </w:tc>
        <w:tc>
          <w:tcPr>
            <w:tcW w:type="dxa" w:w="15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Automobile</w:t>
            </w:r>
          </w:p>
        </w:tc>
        <w:tc>
          <w:tcPr>
            <w:tcW w:type="dxa" w:w="38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INDU, HCAR, PSMC</w:t>
            </w:r>
          </w:p>
        </w:tc>
        <w:tc>
          <w:tcPr>
            <w:tcW w:type="dxa" w:w="15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22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Other Sectors</w:t>
            </w:r>
          </w:p>
        </w:tc>
        <w:tc>
          <w:tcPr>
            <w:tcW w:type="dxa" w:w="38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Various remaining KSE-100</w:t>
            </w:r>
          </w:p>
        </w:tc>
        <w:tc>
          <w:tcPr>
            <w:tcW w:type="dxa" w:w="15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~26</w:t>
            </w:r>
          </w:p>
        </w:tc>
        <w:tc>
          <w:tcPr>
            <w:tcW w:type="dxa" w:w="15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Post-MVP</w:t>
            </w:r>
          </w:p>
        </w:tc>
      </w:tr>
    </w:tbl>
    <w:p>
      <w:pPr>
        <w:spacing w:after="140" w:before="140"/>
      </w:pPr>
      <w:r>
        <w:t xml:space="preserve"/>
      </w:r>
    </w:p>
    <w:p>
      <w:pPr>
        <w:spacing w:after="140" w:before="300"/>
      </w:pPr>
      <w:r>
        <w:rPr>
          <w:rFonts w:ascii="Calibri" w:cs="Calibri" w:eastAsia="Calibri" w:hAnsi="Calibri"/>
          <w:b/>
          <w:bCs/>
          <w:color w:val="2E86AB"/>
          <w:sz w:val="30"/>
          <w:szCs w:val="30"/>
        </w:rPr>
        <w:t xml:space="preserve">1.2 Ticker Format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000"/>
      </w:tblGrid>
      <w:tr>
        <w:tc>
          <w:tcPr>
            <w:tcW w:type="dxa" w:w="20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Exchange</w:t>
            </w:r>
          </w:p>
        </w:tc>
        <w:tc>
          <w:tcPr>
            <w:tcW w:type="dxa" w:w="25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Format</w:t>
            </w:r>
          </w:p>
        </w:tc>
        <w:tc>
          <w:tcPr>
            <w:tcW w:type="dxa" w:w="25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  <w:tc>
          <w:tcPr>
            <w:tcW w:type="dxa" w:w="20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yFinance Format</w:t>
            </w:r>
          </w:p>
        </w:tc>
      </w:tr>
      <w:tr>
        <w:tc>
          <w:tcPr>
            <w:tcW w:type="dxa" w:w="20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PSX (KSE)</w:t>
            </w:r>
          </w:p>
        </w:tc>
        <w:tc>
          <w:tcPr>
            <w:tcW w:type="dxa" w:w="25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Simple ticker code</w:t>
            </w:r>
          </w:p>
        </w:tc>
        <w:tc>
          <w:tcPr>
            <w:tcW w:type="dxa" w:w="25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OGDC, LUCK, ENGRO</w:t>
            </w:r>
          </w:p>
        </w:tc>
        <w:tc>
          <w:tcPr>
            <w:tcW w:type="dxa" w:w="20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OGDC.KA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PSX (KSE)</w:t>
            </w:r>
          </w:p>
        </w:tc>
        <w:tc>
          <w:tcPr>
            <w:tcW w:type="dxa" w:w="25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Bank tickers</w:t>
            </w:r>
          </w:p>
        </w:tc>
        <w:tc>
          <w:tcPr>
            <w:tcW w:type="dxa" w:w="25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HBL, MCB, UBL</w:t>
            </w:r>
          </w:p>
        </w:tc>
        <w:tc>
          <w:tcPr>
            <w:tcW w:type="dxa" w:w="20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HBL.KA</w:t>
            </w:r>
          </w:p>
        </w:tc>
      </w:tr>
      <w:tr>
        <w:tc>
          <w:tcPr>
            <w:tcW w:type="dxa" w:w="20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PSX (KSE)</w:t>
            </w:r>
          </w:p>
        </w:tc>
        <w:tc>
          <w:tcPr>
            <w:tcW w:type="dxa" w:w="25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Multi-word companies</w:t>
            </w:r>
          </w:p>
        </w:tc>
        <w:tc>
          <w:tcPr>
            <w:tcW w:type="dxa" w:w="25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MEBL (Meezan Bank)</w:t>
            </w:r>
          </w:p>
        </w:tc>
        <w:tc>
          <w:tcPr>
            <w:tcW w:type="dxa" w:w="20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MEBL.KA</w:t>
            </w:r>
          </w:p>
        </w:tc>
      </w:tr>
    </w:tbl>
    <w:p>
      <w:pPr>
        <w:spacing w:after="140" w:before="1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BF4F8" w:val="clear"/>
          </w:tcPr>
          <w:p>
            <w:pPr>
              <w:spacing w:after="80" w:before="120"/>
              <w:ind w:left="18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MVP Scope — Ticker Coverage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Phase 1 (MVP Launch):   KSE-100  →  ~100 companies  →  all major sectors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Phase 2 (Month 2-3):    KSE All-Share  →  ~560 companies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Phase 3 (Upgrade):      Add US market tickers  →  same scoring engine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/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Data availability check before adding any ticker: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✓  yFinance .KA data available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✓  Financial statements available on PSX or company IR page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✓  At least 3 years of historical financial data exists</w:t>
            </w:r>
          </w:p>
          <w:p>
            <w:pPr>
              <w:spacing w:after="60" w:before="60"/>
            </w:pPr>
            <w: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2E86AB" w:sz="10"/>
        </w:pBdr>
        <w:spacing w:after="200" w:before="460"/>
      </w:pPr>
      <w:r>
        <w:rPr>
          <w:rFonts w:ascii="Calibri" w:cs="Calibri" w:eastAsia="Calibri" w:hAnsi="Calibri"/>
          <w:b/>
          <w:bCs/>
          <w:color w:val="1E3A5F"/>
          <w:sz w:val="40"/>
          <w:szCs w:val="40"/>
        </w:rPr>
        <w:t xml:space="preserve">Section 2 — 10-Category Scoring System</w:t>
      </w:r>
    </w:p>
    <w:p>
      <w:pPr>
        <w:spacing w:after="65" w:before="6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Every PSX stock is scored across 10 categories. Each category score is 0–100. The overall score is a weighted average based on the selected investment strategy.</w:t>
      </w:r>
    </w:p>
    <w:p>
      <w:pPr>
        <w:spacing w:after="80" w:before="80"/>
      </w:pPr>
      <w:r>
        <w:t xml:space="preserve"/>
      </w:r>
    </w:p>
    <w:p>
      <w:pPr>
        <w:spacing w:after="140" w:before="300"/>
      </w:pPr>
      <w:r>
        <w:rPr>
          <w:rFonts w:ascii="Calibri" w:cs="Calibri" w:eastAsia="Calibri" w:hAnsi="Calibri"/>
          <w:b/>
          <w:bCs/>
          <w:color w:val="2E86AB"/>
          <w:sz w:val="30"/>
          <w:szCs w:val="30"/>
        </w:rPr>
        <w:t xml:space="preserve">2.1 Category Overview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3700"/>
        <w:gridCol w:w="2500"/>
      </w:tblGrid>
      <w:tr>
        <w:tc>
          <w:tcPr>
            <w:tcW w:type="dxa" w:w="20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8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Default Weight</w:t>
            </w:r>
          </w:p>
        </w:tc>
        <w:tc>
          <w:tcPr>
            <w:tcW w:type="dxa" w:w="37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Metrics Used</w:t>
            </w:r>
          </w:p>
        </w:tc>
        <w:tc>
          <w:tcPr>
            <w:tcW w:type="dxa" w:w="25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PSX Benchmark Source</w:t>
            </w:r>
          </w:p>
        </w:tc>
      </w:tr>
      <w:tr>
        <w:tc>
          <w:tcPr>
            <w:tcW w:type="dxa" w:w="20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Business Quality</w:t>
            </w:r>
          </w:p>
        </w:tc>
        <w:tc>
          <w:tcPr>
            <w:tcW w:type="dxa" w:w="800"/>
            <w:shd w:fill="EBF4F8" w:val="clea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86AB"/>
                <w:sz w:val="18"/>
                <w:szCs w:val="18"/>
              </w:rPr>
              <w:t xml:space="preserve">12%</w:t>
            </w:r>
          </w:p>
        </w:tc>
        <w:tc>
          <w:tcPr>
            <w:tcW w:type="dxa" w:w="37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11827"/>
                <w:sz w:val="17"/>
                <w:szCs w:val="17"/>
              </w:rPr>
              <w:t xml:space="preserve">Revenue consistency, EPS stability, earnings streak</w:t>
            </w:r>
          </w:p>
        </w:tc>
        <w:tc>
          <w:tcPr>
            <w:tcW w:type="dxa" w:w="25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0D9488"/>
                <w:sz w:val="17"/>
                <w:szCs w:val="17"/>
              </w:rPr>
              <w:t xml:space="preserve">KSE-100 median consistency</w:t>
            </w:r>
          </w:p>
        </w:tc>
      </w:tr>
      <w:tr>
        <w:tc>
          <w:tcPr>
            <w:tcW w:type="dxa" w:w="20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Revenue Growth</w:t>
            </w:r>
          </w:p>
        </w:tc>
        <w:tc>
          <w:tcPr>
            <w:tcW w:type="dxa" w:w="800"/>
            <w:shd w:fill="EBF4F8" w:val="clea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86AB"/>
                <w:sz w:val="18"/>
                <w:szCs w:val="18"/>
              </w:rPr>
              <w:t xml:space="preserve">12%</w:t>
            </w:r>
          </w:p>
        </w:tc>
        <w:tc>
          <w:tcPr>
            <w:tcW w:type="dxa" w:w="37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11827"/>
                <w:sz w:val="17"/>
                <w:szCs w:val="17"/>
              </w:rPr>
              <w:t xml:space="preserve">YoY growth, 3Y CAGR, 5Y CAGR, QoQ trend</w:t>
            </w:r>
          </w:p>
        </w:tc>
        <w:tc>
          <w:tcPr>
            <w:tcW w:type="dxa" w:w="25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0D9488"/>
                <w:sz w:val="17"/>
                <w:szCs w:val="17"/>
              </w:rPr>
              <w:t xml:space="preserve">PSX sector median CAGR</w:t>
            </w:r>
          </w:p>
        </w:tc>
      </w:tr>
      <w:tr>
        <w:tc>
          <w:tcPr>
            <w:tcW w:type="dxa" w:w="20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Profitability</w:t>
            </w:r>
          </w:p>
        </w:tc>
        <w:tc>
          <w:tcPr>
            <w:tcW w:type="dxa" w:w="800"/>
            <w:shd w:fill="EBF4F8" w:val="clea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86AB"/>
                <w:sz w:val="18"/>
                <w:szCs w:val="18"/>
              </w:rPr>
              <w:t xml:space="preserve">12%</w:t>
            </w:r>
          </w:p>
        </w:tc>
        <w:tc>
          <w:tcPr>
            <w:tcW w:type="dxa" w:w="37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11827"/>
                <w:sz w:val="17"/>
                <w:szCs w:val="17"/>
              </w:rPr>
              <w:t xml:space="preserve">Gross margin, operating margin, net margin + trend</w:t>
            </w:r>
          </w:p>
        </w:tc>
        <w:tc>
          <w:tcPr>
            <w:tcW w:type="dxa" w:w="25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0D9488"/>
                <w:sz w:val="17"/>
                <w:szCs w:val="17"/>
              </w:rPr>
              <w:t xml:space="preserve">PSX sector margin averages</w:t>
            </w:r>
          </w:p>
        </w:tc>
      </w:tr>
      <w:tr>
        <w:tc>
          <w:tcPr>
            <w:tcW w:type="dxa" w:w="20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Cash Flow</w:t>
            </w:r>
          </w:p>
        </w:tc>
        <w:tc>
          <w:tcPr>
            <w:tcW w:type="dxa" w:w="800"/>
            <w:shd w:fill="EBF4F8" w:val="clea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86AB"/>
                <w:sz w:val="18"/>
                <w:szCs w:val="18"/>
              </w:rPr>
              <w:t xml:space="preserve">12%</w:t>
            </w:r>
          </w:p>
        </w:tc>
        <w:tc>
          <w:tcPr>
            <w:tcW w:type="dxa" w:w="37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11827"/>
                <w:sz w:val="17"/>
                <w:szCs w:val="17"/>
              </w:rPr>
              <w:t xml:space="preserve">FCF, FCF margin, FCF growth, operating CF quality</w:t>
            </w:r>
          </w:p>
        </w:tc>
        <w:tc>
          <w:tcPr>
            <w:tcW w:type="dxa" w:w="25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0D9488"/>
                <w:sz w:val="17"/>
                <w:szCs w:val="17"/>
              </w:rPr>
              <w:t xml:space="preserve">PSX sector FCF benchmarks</w:t>
            </w:r>
          </w:p>
        </w:tc>
      </w:tr>
      <w:tr>
        <w:tc>
          <w:tcPr>
            <w:tcW w:type="dxa" w:w="20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Balance Sheet</w:t>
            </w:r>
          </w:p>
        </w:tc>
        <w:tc>
          <w:tcPr>
            <w:tcW w:type="dxa" w:w="800"/>
            <w:shd w:fill="EBF4F8" w:val="clea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86AB"/>
                <w:sz w:val="18"/>
                <w:szCs w:val="18"/>
              </w:rPr>
              <w:t xml:space="preserve">10%</w:t>
            </w:r>
          </w:p>
        </w:tc>
        <w:tc>
          <w:tcPr>
            <w:tcW w:type="dxa" w:w="37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11827"/>
                <w:sz w:val="17"/>
                <w:szCs w:val="17"/>
              </w:rPr>
              <w:t xml:space="preserve">D/E ratio, interest coverage, current ratio, quick ratio</w:t>
            </w:r>
          </w:p>
        </w:tc>
        <w:tc>
          <w:tcPr>
            <w:tcW w:type="dxa" w:w="25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0D9488"/>
                <w:sz w:val="17"/>
                <w:szCs w:val="17"/>
              </w:rPr>
              <w:t xml:space="preserve">PSX sector debt levels</w:t>
            </w:r>
          </w:p>
        </w:tc>
      </w:tr>
      <w:tr>
        <w:tc>
          <w:tcPr>
            <w:tcW w:type="dxa" w:w="20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Capital Efficiency</w:t>
            </w:r>
          </w:p>
        </w:tc>
        <w:tc>
          <w:tcPr>
            <w:tcW w:type="dxa" w:w="800"/>
            <w:shd w:fill="EBF4F8" w:val="clea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86AB"/>
                <w:sz w:val="18"/>
                <w:szCs w:val="18"/>
              </w:rPr>
              <w:t xml:space="preserve">10%</w:t>
            </w:r>
          </w:p>
        </w:tc>
        <w:tc>
          <w:tcPr>
            <w:tcW w:type="dxa" w:w="37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11827"/>
                <w:sz w:val="17"/>
                <w:szCs w:val="17"/>
              </w:rPr>
              <w:t xml:space="preserve">ROE, ROA, ROIC, asset turnover</w:t>
            </w:r>
          </w:p>
        </w:tc>
        <w:tc>
          <w:tcPr>
            <w:tcW w:type="dxa" w:w="25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0D9488"/>
                <w:sz w:val="17"/>
                <w:szCs w:val="17"/>
              </w:rPr>
              <w:t xml:space="preserve">PSX sector efficiency medians</w:t>
            </w:r>
          </w:p>
        </w:tc>
      </w:tr>
      <w:tr>
        <w:tc>
          <w:tcPr>
            <w:tcW w:type="dxa" w:w="20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Valuation</w:t>
            </w:r>
          </w:p>
        </w:tc>
        <w:tc>
          <w:tcPr>
            <w:tcW w:type="dxa" w:w="800"/>
            <w:shd w:fill="EBF4F8" w:val="clea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86AB"/>
                <w:sz w:val="18"/>
                <w:szCs w:val="18"/>
              </w:rPr>
              <w:t xml:space="preserve">12%</w:t>
            </w:r>
          </w:p>
        </w:tc>
        <w:tc>
          <w:tcPr>
            <w:tcW w:type="dxa" w:w="37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11827"/>
                <w:sz w:val="17"/>
                <w:szCs w:val="17"/>
              </w:rPr>
              <w:t xml:space="preserve">P/E, P/B, EV/EBITDA, P/FCF vs 5Y avg &amp; sector</w:t>
            </w:r>
          </w:p>
        </w:tc>
        <w:tc>
          <w:tcPr>
            <w:tcW w:type="dxa" w:w="25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0D9488"/>
                <w:sz w:val="17"/>
                <w:szCs w:val="17"/>
              </w:rPr>
              <w:t xml:space="preserve">PSX sector valuation ranges</w:t>
            </w:r>
          </w:p>
        </w:tc>
      </w:tr>
      <w:tr>
        <w:tc>
          <w:tcPr>
            <w:tcW w:type="dxa" w:w="20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Dividend</w:t>
            </w:r>
          </w:p>
        </w:tc>
        <w:tc>
          <w:tcPr>
            <w:tcW w:type="dxa" w:w="800"/>
            <w:shd w:fill="EBF4F8" w:val="clea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86AB"/>
                <w:sz w:val="18"/>
                <w:szCs w:val="18"/>
              </w:rPr>
              <w:t xml:space="preserve">8%</w:t>
            </w:r>
          </w:p>
        </w:tc>
        <w:tc>
          <w:tcPr>
            <w:tcW w:type="dxa" w:w="37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11827"/>
                <w:sz w:val="17"/>
                <w:szCs w:val="17"/>
              </w:rPr>
              <w:t xml:space="preserve">Yield, payout ratio, years of dividend, dividend growth</w:t>
            </w:r>
          </w:p>
        </w:tc>
        <w:tc>
          <w:tcPr>
            <w:tcW w:type="dxa" w:w="25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0D9488"/>
                <w:sz w:val="17"/>
                <w:szCs w:val="17"/>
              </w:rPr>
              <w:t xml:space="preserve">PSX sector yield averages</w:t>
            </w:r>
          </w:p>
        </w:tc>
      </w:tr>
      <w:tr>
        <w:tc>
          <w:tcPr>
            <w:tcW w:type="dxa" w:w="20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Management Quality</w:t>
            </w:r>
          </w:p>
        </w:tc>
        <w:tc>
          <w:tcPr>
            <w:tcW w:type="dxa" w:w="800"/>
            <w:shd w:fill="EBF4F8" w:val="clea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86AB"/>
                <w:sz w:val="18"/>
                <w:szCs w:val="18"/>
              </w:rPr>
              <w:t xml:space="preserve">6%</w:t>
            </w:r>
          </w:p>
        </w:tc>
        <w:tc>
          <w:tcPr>
            <w:tcW w:type="dxa" w:w="37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11827"/>
                <w:sz w:val="17"/>
                <w:szCs w:val="17"/>
              </w:rPr>
              <w:t xml:space="preserve">Guidance accuracy, capex discipline, insider ownership</w:t>
            </w:r>
          </w:p>
        </w:tc>
        <w:tc>
          <w:tcPr>
            <w:tcW w:type="dxa" w:w="25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0D9488"/>
                <w:sz w:val="17"/>
                <w:szCs w:val="17"/>
              </w:rPr>
              <w:t xml:space="preserve">Qualitative scoring rules</w:t>
            </w:r>
          </w:p>
        </w:tc>
      </w:tr>
      <w:tr>
        <w:tc>
          <w:tcPr>
            <w:tcW w:type="dxa" w:w="20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Risk Score</w:t>
            </w:r>
          </w:p>
        </w:tc>
        <w:tc>
          <w:tcPr>
            <w:tcW w:type="dxa" w:w="800"/>
            <w:shd w:fill="EBF4F8" w:val="clea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86AB"/>
                <w:sz w:val="18"/>
                <w:szCs w:val="18"/>
              </w:rPr>
              <w:t xml:space="preserve">6%</w:t>
            </w:r>
          </w:p>
        </w:tc>
        <w:tc>
          <w:tcPr>
            <w:tcW w:type="dxa" w:w="37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11827"/>
                <w:sz w:val="17"/>
                <w:szCs w:val="17"/>
              </w:rPr>
              <w:t xml:space="preserve">Earnings volatility, debt risk, sector cyclicality score</w:t>
            </w:r>
          </w:p>
        </w:tc>
        <w:tc>
          <w:tcPr>
            <w:tcW w:type="dxa" w:w="25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0D9488"/>
                <w:sz w:val="17"/>
                <w:szCs w:val="17"/>
              </w:rPr>
              <w:t xml:space="preserve">PSX sector risk profiles</w:t>
            </w:r>
          </w:p>
        </w:tc>
      </w:tr>
    </w:tbl>
    <w:p>
      <w:pPr>
        <w:spacing w:after="180" w:before="180"/>
      </w:pPr>
      <w:r>
        <w:t xml:space="preserve"/>
      </w:r>
    </w:p>
    <w:p>
      <w:pPr>
        <w:spacing w:after="140" w:before="300"/>
      </w:pPr>
      <w:r>
        <w:rPr>
          <w:rFonts w:ascii="Calibri" w:cs="Calibri" w:eastAsia="Calibri" w:hAnsi="Calibri"/>
          <w:b/>
          <w:bCs/>
          <w:color w:val="2E86AB"/>
          <w:sz w:val="30"/>
          <w:szCs w:val="30"/>
        </w:rPr>
        <w:t xml:space="preserve">2.2 Metric-to-Score Conversion Rules</w:t>
      </w:r>
    </w:p>
    <w:p>
      <w:pPr>
        <w:spacing w:after="65" w:before="6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Each raw metric is converted to a 0–100 sub-score using PSX-specific thresholds. Sub-scores are averaged within each category.</w:t>
      </w:r>
    </w:p>
    <w:p>
      <w:pPr>
        <w:spacing w:after="80" w:before="80"/>
      </w:pPr>
      <w:r>
        <w:t xml:space="preserve"/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Category 1 — Business Quality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100"/>
        <w:gridCol w:w="1100"/>
        <w:gridCol w:w="1100"/>
        <w:gridCol w:w="1100"/>
        <w:gridCol w:w="1400"/>
      </w:tblGrid>
      <w:tr>
        <w:tc>
          <w:tcPr>
            <w:tcW w:type="dxa" w:w="20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12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0–20 (Poor)</w:t>
            </w:r>
          </w:p>
        </w:tc>
        <w:tc>
          <w:tcPr>
            <w:tcW w:type="dxa" w:w="11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20–40</w:t>
            </w:r>
          </w:p>
        </w:tc>
        <w:tc>
          <w:tcPr>
            <w:tcW w:type="dxa" w:w="11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40–60</w:t>
            </w:r>
          </w:p>
        </w:tc>
        <w:tc>
          <w:tcPr>
            <w:tcW w:type="dxa" w:w="11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60–80</w:t>
            </w:r>
          </w:p>
        </w:tc>
        <w:tc>
          <w:tcPr>
            <w:tcW w:type="dxa" w:w="11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80–100 (Excellent)</w:t>
            </w:r>
          </w:p>
        </w:tc>
        <w:tc>
          <w:tcPr>
            <w:tcW w:type="dxa" w:w="14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Weight in Category</w:t>
            </w:r>
          </w:p>
        </w:tc>
      </w:tr>
      <w:tr>
        <w:tc>
          <w:tcPr>
            <w:tcW w:type="dxa" w:w="20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Revenue Consistency (5Y)</w:t>
            </w:r>
          </w:p>
        </w:tc>
        <w:tc>
          <w:tcPr>
            <w:tcW w:type="dxa" w:w="12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Revenue fell 3+ years</w:t>
            </w:r>
          </w:p>
        </w:tc>
        <w:tc>
          <w:tcPr>
            <w:tcW w:type="dxa" w:w="11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Fell 2 years</w:t>
            </w:r>
          </w:p>
        </w:tc>
        <w:tc>
          <w:tcPr>
            <w:tcW w:type="dxa" w:w="11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Fell 1 year</w:t>
            </w:r>
          </w:p>
        </w:tc>
        <w:tc>
          <w:tcPr>
            <w:tcW w:type="dxa" w:w="11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Grew 4 of 5 years</w:t>
            </w:r>
          </w:p>
        </w:tc>
        <w:tc>
          <w:tcPr>
            <w:tcW w:type="dxa" w:w="11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Grew all 5 years</w:t>
            </w:r>
          </w:p>
        </w:tc>
        <w:tc>
          <w:tcPr>
            <w:tcW w:type="dxa" w:w="14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40%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EPS Stability (5Y)</w:t>
            </w:r>
          </w:p>
        </w:tc>
        <w:tc>
          <w:tcPr>
            <w:tcW w:type="dxa" w:w="12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Loss 3+ years</w:t>
            </w:r>
          </w:p>
        </w:tc>
        <w:tc>
          <w:tcPr>
            <w:tcW w:type="dxa" w:w="11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Loss 2 years</w:t>
            </w:r>
          </w:p>
        </w:tc>
        <w:tc>
          <w:tcPr>
            <w:tcW w:type="dxa" w:w="11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Loss 1 year</w:t>
            </w:r>
          </w:p>
        </w:tc>
        <w:tc>
          <w:tcPr>
            <w:tcW w:type="dxa" w:w="11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Positive 4 of 5</w:t>
            </w:r>
          </w:p>
        </w:tc>
        <w:tc>
          <w:tcPr>
            <w:tcW w:type="dxa" w:w="11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Positive all 5 years</w:t>
            </w:r>
          </w:p>
        </w:tc>
        <w:tc>
          <w:tcPr>
            <w:tcW w:type="dxa" w:w="14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35%</w:t>
            </w:r>
          </w:p>
        </w:tc>
      </w:tr>
      <w:tr>
        <w:tc>
          <w:tcPr>
            <w:tcW w:type="dxa" w:w="20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Earnings Surprise Track</w:t>
            </w:r>
          </w:p>
        </w:tc>
        <w:tc>
          <w:tcPr>
            <w:tcW w:type="dxa" w:w="12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Missed 4+ qtrs</w:t>
            </w:r>
          </w:p>
        </w:tc>
        <w:tc>
          <w:tcPr>
            <w:tcW w:type="dxa" w:w="11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Missed 3 qtrs</w:t>
            </w:r>
          </w:p>
        </w:tc>
        <w:tc>
          <w:tcPr>
            <w:tcW w:type="dxa" w:w="11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Missed 2 qtrs</w:t>
            </w:r>
          </w:p>
        </w:tc>
        <w:tc>
          <w:tcPr>
            <w:tcW w:type="dxa" w:w="11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Missed 1 qtr</w:t>
            </w:r>
          </w:p>
        </w:tc>
        <w:tc>
          <w:tcPr>
            <w:tcW w:type="dxa" w:w="11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Met or beat all qtrs</w:t>
            </w:r>
          </w:p>
        </w:tc>
        <w:tc>
          <w:tcPr>
            <w:tcW w:type="dxa" w:w="14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25%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Category 2 — Revenue Growth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100"/>
        <w:gridCol w:w="1100"/>
        <w:gridCol w:w="1100"/>
        <w:gridCol w:w="1100"/>
        <w:gridCol w:w="1400"/>
      </w:tblGrid>
      <w:tr>
        <w:tc>
          <w:tcPr>
            <w:tcW w:type="dxa" w:w="20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12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0–20</w:t>
            </w:r>
          </w:p>
        </w:tc>
        <w:tc>
          <w:tcPr>
            <w:tcW w:type="dxa" w:w="11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20–40</w:t>
            </w:r>
          </w:p>
        </w:tc>
        <w:tc>
          <w:tcPr>
            <w:tcW w:type="dxa" w:w="11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40–60</w:t>
            </w:r>
          </w:p>
        </w:tc>
        <w:tc>
          <w:tcPr>
            <w:tcW w:type="dxa" w:w="11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60–80</w:t>
            </w:r>
          </w:p>
        </w:tc>
        <w:tc>
          <w:tcPr>
            <w:tcW w:type="dxa" w:w="11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80–100</w:t>
            </w:r>
          </w:p>
        </w:tc>
        <w:tc>
          <w:tcPr>
            <w:tcW w:type="dxa" w:w="14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Weight in Category</w:t>
            </w:r>
          </w:p>
        </w:tc>
      </w:tr>
      <w:tr>
        <w:tc>
          <w:tcPr>
            <w:tcW w:type="dxa" w:w="20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YoY Revenue Growth</w:t>
            </w:r>
          </w:p>
        </w:tc>
        <w:tc>
          <w:tcPr>
            <w:tcW w:type="dxa" w:w="12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&lt; 0% (decline)</w:t>
            </w:r>
          </w:p>
        </w:tc>
        <w:tc>
          <w:tcPr>
            <w:tcW w:type="dxa" w:w="11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0–3%</w:t>
            </w:r>
          </w:p>
        </w:tc>
        <w:tc>
          <w:tcPr>
            <w:tcW w:type="dxa" w:w="11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3–8%</w:t>
            </w:r>
          </w:p>
        </w:tc>
        <w:tc>
          <w:tcPr>
            <w:tcW w:type="dxa" w:w="11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8–15%</w:t>
            </w:r>
          </w:p>
        </w:tc>
        <w:tc>
          <w:tcPr>
            <w:tcW w:type="dxa" w:w="11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&gt; 15%</w:t>
            </w:r>
          </w:p>
        </w:tc>
        <w:tc>
          <w:tcPr>
            <w:tcW w:type="dxa" w:w="14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30%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3Y Revenue CAGR</w:t>
            </w:r>
          </w:p>
        </w:tc>
        <w:tc>
          <w:tcPr>
            <w:tcW w:type="dxa" w:w="12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&lt; 0%</w:t>
            </w:r>
          </w:p>
        </w:tc>
        <w:tc>
          <w:tcPr>
            <w:tcW w:type="dxa" w:w="11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0–3%</w:t>
            </w:r>
          </w:p>
        </w:tc>
        <w:tc>
          <w:tcPr>
            <w:tcW w:type="dxa" w:w="11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3–7%</w:t>
            </w:r>
          </w:p>
        </w:tc>
        <w:tc>
          <w:tcPr>
            <w:tcW w:type="dxa" w:w="11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7–12%</w:t>
            </w:r>
          </w:p>
        </w:tc>
        <w:tc>
          <w:tcPr>
            <w:tcW w:type="dxa" w:w="11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&gt; 12%</w:t>
            </w:r>
          </w:p>
        </w:tc>
        <w:tc>
          <w:tcPr>
            <w:tcW w:type="dxa" w:w="14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35%</w:t>
            </w:r>
          </w:p>
        </w:tc>
      </w:tr>
      <w:tr>
        <w:tc>
          <w:tcPr>
            <w:tcW w:type="dxa" w:w="20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5Y Revenue CAGR</w:t>
            </w:r>
          </w:p>
        </w:tc>
        <w:tc>
          <w:tcPr>
            <w:tcW w:type="dxa" w:w="12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&lt; 0%</w:t>
            </w:r>
          </w:p>
        </w:tc>
        <w:tc>
          <w:tcPr>
            <w:tcW w:type="dxa" w:w="11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0–2%</w:t>
            </w:r>
          </w:p>
        </w:tc>
        <w:tc>
          <w:tcPr>
            <w:tcW w:type="dxa" w:w="11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2–6%</w:t>
            </w:r>
          </w:p>
        </w:tc>
        <w:tc>
          <w:tcPr>
            <w:tcW w:type="dxa" w:w="11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6–10%</w:t>
            </w:r>
          </w:p>
        </w:tc>
        <w:tc>
          <w:tcPr>
            <w:tcW w:type="dxa" w:w="11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&gt; 10%</w:t>
            </w:r>
          </w:p>
        </w:tc>
        <w:tc>
          <w:tcPr>
            <w:tcW w:type="dxa" w:w="14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25%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QoQ Growth Trend</w:t>
            </w:r>
          </w:p>
        </w:tc>
        <w:tc>
          <w:tcPr>
            <w:tcW w:type="dxa" w:w="12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Declining 3 qtrs</w:t>
            </w:r>
          </w:p>
        </w:tc>
        <w:tc>
          <w:tcPr>
            <w:tcW w:type="dxa" w:w="11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Declining 2 qtrs</w:t>
            </w:r>
          </w:p>
        </w:tc>
        <w:tc>
          <w:tcPr>
            <w:tcW w:type="dxa" w:w="11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Flat</w:t>
            </w:r>
          </w:p>
        </w:tc>
        <w:tc>
          <w:tcPr>
            <w:tcW w:type="dxa" w:w="11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Growing 1–2 qtrs</w:t>
            </w:r>
          </w:p>
        </w:tc>
        <w:tc>
          <w:tcPr>
            <w:tcW w:type="dxa" w:w="11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Growing 3+ qtrs</w:t>
            </w:r>
          </w:p>
        </w:tc>
        <w:tc>
          <w:tcPr>
            <w:tcW w:type="dxa" w:w="14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10%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Category 3 — Profitability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100"/>
        <w:gridCol w:w="1100"/>
        <w:gridCol w:w="1100"/>
        <w:gridCol w:w="1100"/>
        <w:gridCol w:w="1400"/>
      </w:tblGrid>
      <w:tr>
        <w:tc>
          <w:tcPr>
            <w:tcW w:type="dxa" w:w="20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12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0–20</w:t>
            </w:r>
          </w:p>
        </w:tc>
        <w:tc>
          <w:tcPr>
            <w:tcW w:type="dxa" w:w="11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20–40</w:t>
            </w:r>
          </w:p>
        </w:tc>
        <w:tc>
          <w:tcPr>
            <w:tcW w:type="dxa" w:w="11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40–60</w:t>
            </w:r>
          </w:p>
        </w:tc>
        <w:tc>
          <w:tcPr>
            <w:tcW w:type="dxa" w:w="11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60–80</w:t>
            </w:r>
          </w:p>
        </w:tc>
        <w:tc>
          <w:tcPr>
            <w:tcW w:type="dxa" w:w="11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80–100</w:t>
            </w:r>
          </w:p>
        </w:tc>
        <w:tc>
          <w:tcPr>
            <w:tcW w:type="dxa" w:w="14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Weight in Category</w:t>
            </w:r>
          </w:p>
        </w:tc>
      </w:tr>
      <w:tr>
        <w:tc>
          <w:tcPr>
            <w:tcW w:type="dxa" w:w="20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Gross Margin</w:t>
            </w:r>
          </w:p>
        </w:tc>
        <w:tc>
          <w:tcPr>
            <w:tcW w:type="dxa" w:w="12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&lt; 10%</w:t>
            </w:r>
          </w:p>
        </w:tc>
        <w:tc>
          <w:tcPr>
            <w:tcW w:type="dxa" w:w="11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10–20%</w:t>
            </w:r>
          </w:p>
        </w:tc>
        <w:tc>
          <w:tcPr>
            <w:tcW w:type="dxa" w:w="11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20–30%</w:t>
            </w:r>
          </w:p>
        </w:tc>
        <w:tc>
          <w:tcPr>
            <w:tcW w:type="dxa" w:w="11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30–45%</w:t>
            </w:r>
          </w:p>
        </w:tc>
        <w:tc>
          <w:tcPr>
            <w:tcW w:type="dxa" w:w="11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&gt; 45%</w:t>
            </w:r>
          </w:p>
        </w:tc>
        <w:tc>
          <w:tcPr>
            <w:tcW w:type="dxa" w:w="14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30%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Operating Margin</w:t>
            </w:r>
          </w:p>
        </w:tc>
        <w:tc>
          <w:tcPr>
            <w:tcW w:type="dxa" w:w="12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&lt; 5%</w:t>
            </w:r>
          </w:p>
        </w:tc>
        <w:tc>
          <w:tcPr>
            <w:tcW w:type="dxa" w:w="11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5–10%</w:t>
            </w:r>
          </w:p>
        </w:tc>
        <w:tc>
          <w:tcPr>
            <w:tcW w:type="dxa" w:w="11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10–18%</w:t>
            </w:r>
          </w:p>
        </w:tc>
        <w:tc>
          <w:tcPr>
            <w:tcW w:type="dxa" w:w="11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18–28%</w:t>
            </w:r>
          </w:p>
        </w:tc>
        <w:tc>
          <w:tcPr>
            <w:tcW w:type="dxa" w:w="11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&gt; 28%</w:t>
            </w:r>
          </w:p>
        </w:tc>
        <w:tc>
          <w:tcPr>
            <w:tcW w:type="dxa" w:w="14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35%</w:t>
            </w:r>
          </w:p>
        </w:tc>
      </w:tr>
      <w:tr>
        <w:tc>
          <w:tcPr>
            <w:tcW w:type="dxa" w:w="20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Net Margin</w:t>
            </w:r>
          </w:p>
        </w:tc>
        <w:tc>
          <w:tcPr>
            <w:tcW w:type="dxa" w:w="12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&lt; 3%</w:t>
            </w:r>
          </w:p>
        </w:tc>
        <w:tc>
          <w:tcPr>
            <w:tcW w:type="dxa" w:w="11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3–7%</w:t>
            </w:r>
          </w:p>
        </w:tc>
        <w:tc>
          <w:tcPr>
            <w:tcW w:type="dxa" w:w="11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7–12%</w:t>
            </w:r>
          </w:p>
        </w:tc>
        <w:tc>
          <w:tcPr>
            <w:tcW w:type="dxa" w:w="11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12–20%</w:t>
            </w:r>
          </w:p>
        </w:tc>
        <w:tc>
          <w:tcPr>
            <w:tcW w:type="dxa" w:w="11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&gt; 20%</w:t>
            </w:r>
          </w:p>
        </w:tc>
        <w:tc>
          <w:tcPr>
            <w:tcW w:type="dxa" w:w="14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25%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Margin Trend (3Y)</w:t>
            </w:r>
          </w:p>
        </w:tc>
        <w:tc>
          <w:tcPr>
            <w:tcW w:type="dxa" w:w="12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Falling fast (&gt;5pp)</w:t>
            </w:r>
          </w:p>
        </w:tc>
        <w:tc>
          <w:tcPr>
            <w:tcW w:type="dxa" w:w="11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Falling slightly</w:t>
            </w:r>
          </w:p>
        </w:tc>
        <w:tc>
          <w:tcPr>
            <w:tcW w:type="dxa" w:w="11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Flat</w:t>
            </w:r>
          </w:p>
        </w:tc>
        <w:tc>
          <w:tcPr>
            <w:tcW w:type="dxa" w:w="11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Improving slightly</w:t>
            </w:r>
          </w:p>
        </w:tc>
        <w:tc>
          <w:tcPr>
            <w:tcW w:type="dxa" w:w="11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Improving significantly</w:t>
            </w:r>
          </w:p>
        </w:tc>
        <w:tc>
          <w:tcPr>
            <w:tcW w:type="dxa" w:w="14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10%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Category 4 — Cash Flow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100"/>
        <w:gridCol w:w="1100"/>
        <w:gridCol w:w="1100"/>
        <w:gridCol w:w="1100"/>
        <w:gridCol w:w="1400"/>
      </w:tblGrid>
      <w:tr>
        <w:tc>
          <w:tcPr>
            <w:tcW w:type="dxa" w:w="20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12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0–20</w:t>
            </w:r>
          </w:p>
        </w:tc>
        <w:tc>
          <w:tcPr>
            <w:tcW w:type="dxa" w:w="11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20–40</w:t>
            </w:r>
          </w:p>
        </w:tc>
        <w:tc>
          <w:tcPr>
            <w:tcW w:type="dxa" w:w="11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40–60</w:t>
            </w:r>
          </w:p>
        </w:tc>
        <w:tc>
          <w:tcPr>
            <w:tcW w:type="dxa" w:w="11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60–80</w:t>
            </w:r>
          </w:p>
        </w:tc>
        <w:tc>
          <w:tcPr>
            <w:tcW w:type="dxa" w:w="11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80–100</w:t>
            </w:r>
          </w:p>
        </w:tc>
        <w:tc>
          <w:tcPr>
            <w:tcW w:type="dxa" w:w="14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Weight in Category</w:t>
            </w:r>
          </w:p>
        </w:tc>
      </w:tr>
      <w:tr>
        <w:tc>
          <w:tcPr>
            <w:tcW w:type="dxa" w:w="20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FCF Positive (years of 5)</w:t>
            </w:r>
          </w:p>
        </w:tc>
        <w:tc>
          <w:tcPr>
            <w:tcW w:type="dxa" w:w="12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0–1 years</w:t>
            </w:r>
          </w:p>
        </w:tc>
        <w:tc>
          <w:tcPr>
            <w:tcW w:type="dxa" w:w="11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2 years</w:t>
            </w:r>
          </w:p>
        </w:tc>
        <w:tc>
          <w:tcPr>
            <w:tcW w:type="dxa" w:w="11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3 years</w:t>
            </w:r>
          </w:p>
        </w:tc>
        <w:tc>
          <w:tcPr>
            <w:tcW w:type="dxa" w:w="11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4 years</w:t>
            </w:r>
          </w:p>
        </w:tc>
        <w:tc>
          <w:tcPr>
            <w:tcW w:type="dxa" w:w="11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5 years</w:t>
            </w:r>
          </w:p>
        </w:tc>
        <w:tc>
          <w:tcPr>
            <w:tcW w:type="dxa" w:w="14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35%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FCF Margin</w:t>
            </w:r>
          </w:p>
        </w:tc>
        <w:tc>
          <w:tcPr>
            <w:tcW w:type="dxa" w:w="12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&lt; 2%</w:t>
            </w:r>
          </w:p>
        </w:tc>
        <w:tc>
          <w:tcPr>
            <w:tcW w:type="dxa" w:w="11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2–5%</w:t>
            </w:r>
          </w:p>
        </w:tc>
        <w:tc>
          <w:tcPr>
            <w:tcW w:type="dxa" w:w="11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5–10%</w:t>
            </w:r>
          </w:p>
        </w:tc>
        <w:tc>
          <w:tcPr>
            <w:tcW w:type="dxa" w:w="11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10–18%</w:t>
            </w:r>
          </w:p>
        </w:tc>
        <w:tc>
          <w:tcPr>
            <w:tcW w:type="dxa" w:w="11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&gt; 18%</w:t>
            </w:r>
          </w:p>
        </w:tc>
        <w:tc>
          <w:tcPr>
            <w:tcW w:type="dxa" w:w="14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30%</w:t>
            </w:r>
          </w:p>
        </w:tc>
      </w:tr>
      <w:tr>
        <w:tc>
          <w:tcPr>
            <w:tcW w:type="dxa" w:w="20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FCF Growth (3Y CAGR)</w:t>
            </w:r>
          </w:p>
        </w:tc>
        <w:tc>
          <w:tcPr>
            <w:tcW w:type="dxa" w:w="12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&lt; 0%</w:t>
            </w:r>
          </w:p>
        </w:tc>
        <w:tc>
          <w:tcPr>
            <w:tcW w:type="dxa" w:w="11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0–3%</w:t>
            </w:r>
          </w:p>
        </w:tc>
        <w:tc>
          <w:tcPr>
            <w:tcW w:type="dxa" w:w="11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3–8%</w:t>
            </w:r>
          </w:p>
        </w:tc>
        <w:tc>
          <w:tcPr>
            <w:tcW w:type="dxa" w:w="11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8–15%</w:t>
            </w:r>
          </w:p>
        </w:tc>
        <w:tc>
          <w:tcPr>
            <w:tcW w:type="dxa" w:w="11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&gt; 15%</w:t>
            </w:r>
          </w:p>
        </w:tc>
        <w:tc>
          <w:tcPr>
            <w:tcW w:type="dxa" w:w="14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25%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Operating CF / Net Income</w:t>
            </w:r>
          </w:p>
        </w:tc>
        <w:tc>
          <w:tcPr>
            <w:tcW w:type="dxa" w:w="12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&lt; 0.5x</w:t>
            </w:r>
          </w:p>
        </w:tc>
        <w:tc>
          <w:tcPr>
            <w:tcW w:type="dxa" w:w="11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0.5–0.8x</w:t>
            </w:r>
          </w:p>
        </w:tc>
        <w:tc>
          <w:tcPr>
            <w:tcW w:type="dxa" w:w="11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0.8–1.0x</w:t>
            </w:r>
          </w:p>
        </w:tc>
        <w:tc>
          <w:tcPr>
            <w:tcW w:type="dxa" w:w="11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1.0–1.3x</w:t>
            </w:r>
          </w:p>
        </w:tc>
        <w:tc>
          <w:tcPr>
            <w:tcW w:type="dxa" w:w="11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&gt; 1.3x</w:t>
            </w:r>
          </w:p>
        </w:tc>
        <w:tc>
          <w:tcPr>
            <w:tcW w:type="dxa" w:w="14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10%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Category 5 — Balance Sheet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100"/>
        <w:gridCol w:w="1100"/>
        <w:gridCol w:w="1100"/>
        <w:gridCol w:w="1100"/>
        <w:gridCol w:w="1400"/>
      </w:tblGrid>
      <w:tr>
        <w:tc>
          <w:tcPr>
            <w:tcW w:type="dxa" w:w="20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12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0–20</w:t>
            </w:r>
          </w:p>
        </w:tc>
        <w:tc>
          <w:tcPr>
            <w:tcW w:type="dxa" w:w="11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20–40</w:t>
            </w:r>
          </w:p>
        </w:tc>
        <w:tc>
          <w:tcPr>
            <w:tcW w:type="dxa" w:w="11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40–60</w:t>
            </w:r>
          </w:p>
        </w:tc>
        <w:tc>
          <w:tcPr>
            <w:tcW w:type="dxa" w:w="11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60–80</w:t>
            </w:r>
          </w:p>
        </w:tc>
        <w:tc>
          <w:tcPr>
            <w:tcW w:type="dxa" w:w="11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80–100</w:t>
            </w:r>
          </w:p>
        </w:tc>
        <w:tc>
          <w:tcPr>
            <w:tcW w:type="dxa" w:w="14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Weight in Category</w:t>
            </w:r>
          </w:p>
        </w:tc>
      </w:tr>
      <w:tr>
        <w:tc>
          <w:tcPr>
            <w:tcW w:type="dxa" w:w="20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Debt / Equity Ratio</w:t>
            </w:r>
          </w:p>
        </w:tc>
        <w:tc>
          <w:tcPr>
            <w:tcW w:type="dxa" w:w="12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&gt; 3.0x</w:t>
            </w:r>
          </w:p>
        </w:tc>
        <w:tc>
          <w:tcPr>
            <w:tcW w:type="dxa" w:w="11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2.0–3.0x</w:t>
            </w:r>
          </w:p>
        </w:tc>
        <w:tc>
          <w:tcPr>
            <w:tcW w:type="dxa" w:w="11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1.0–2.0x</w:t>
            </w:r>
          </w:p>
        </w:tc>
        <w:tc>
          <w:tcPr>
            <w:tcW w:type="dxa" w:w="11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0.5–1.0x</w:t>
            </w:r>
          </w:p>
        </w:tc>
        <w:tc>
          <w:tcPr>
            <w:tcW w:type="dxa" w:w="11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&lt; 0.5x</w:t>
            </w:r>
          </w:p>
        </w:tc>
        <w:tc>
          <w:tcPr>
            <w:tcW w:type="dxa" w:w="14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35%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Interest Coverage Ratio</w:t>
            </w:r>
          </w:p>
        </w:tc>
        <w:tc>
          <w:tcPr>
            <w:tcW w:type="dxa" w:w="12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&lt; 1.5x</w:t>
            </w:r>
          </w:p>
        </w:tc>
        <w:tc>
          <w:tcPr>
            <w:tcW w:type="dxa" w:w="11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1.5–2.5x</w:t>
            </w:r>
          </w:p>
        </w:tc>
        <w:tc>
          <w:tcPr>
            <w:tcW w:type="dxa" w:w="11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2.5–4.0x</w:t>
            </w:r>
          </w:p>
        </w:tc>
        <w:tc>
          <w:tcPr>
            <w:tcW w:type="dxa" w:w="11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4.0–7.0x</w:t>
            </w:r>
          </w:p>
        </w:tc>
        <w:tc>
          <w:tcPr>
            <w:tcW w:type="dxa" w:w="11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&gt; 7.0x</w:t>
            </w:r>
          </w:p>
        </w:tc>
        <w:tc>
          <w:tcPr>
            <w:tcW w:type="dxa" w:w="14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35%</w:t>
            </w:r>
          </w:p>
        </w:tc>
      </w:tr>
      <w:tr>
        <w:tc>
          <w:tcPr>
            <w:tcW w:type="dxa" w:w="20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Current Ratio</w:t>
            </w:r>
          </w:p>
        </w:tc>
        <w:tc>
          <w:tcPr>
            <w:tcW w:type="dxa" w:w="12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&lt; 0.8x</w:t>
            </w:r>
          </w:p>
        </w:tc>
        <w:tc>
          <w:tcPr>
            <w:tcW w:type="dxa" w:w="11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0.8–1.0x</w:t>
            </w:r>
          </w:p>
        </w:tc>
        <w:tc>
          <w:tcPr>
            <w:tcW w:type="dxa" w:w="11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1.0–1.5x</w:t>
            </w:r>
          </w:p>
        </w:tc>
        <w:tc>
          <w:tcPr>
            <w:tcW w:type="dxa" w:w="11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1.5–2.0x</w:t>
            </w:r>
          </w:p>
        </w:tc>
        <w:tc>
          <w:tcPr>
            <w:tcW w:type="dxa" w:w="11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&gt; 2.0x</w:t>
            </w:r>
          </w:p>
        </w:tc>
        <w:tc>
          <w:tcPr>
            <w:tcW w:type="dxa" w:w="14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20%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Quick Ratio</w:t>
            </w:r>
          </w:p>
        </w:tc>
        <w:tc>
          <w:tcPr>
            <w:tcW w:type="dxa" w:w="12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&lt; 0.5x</w:t>
            </w:r>
          </w:p>
        </w:tc>
        <w:tc>
          <w:tcPr>
            <w:tcW w:type="dxa" w:w="11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0.5–0.8x</w:t>
            </w:r>
          </w:p>
        </w:tc>
        <w:tc>
          <w:tcPr>
            <w:tcW w:type="dxa" w:w="11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0.8–1.0x</w:t>
            </w:r>
          </w:p>
        </w:tc>
        <w:tc>
          <w:tcPr>
            <w:tcW w:type="dxa" w:w="11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1.0–1.5x</w:t>
            </w:r>
          </w:p>
        </w:tc>
        <w:tc>
          <w:tcPr>
            <w:tcW w:type="dxa" w:w="11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&gt; 1.5x</w:t>
            </w:r>
          </w:p>
        </w:tc>
        <w:tc>
          <w:tcPr>
            <w:tcW w:type="dxa" w:w="14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10%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Category 6 — Capital Efficiency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100"/>
        <w:gridCol w:w="1100"/>
        <w:gridCol w:w="1100"/>
        <w:gridCol w:w="1100"/>
        <w:gridCol w:w="1400"/>
      </w:tblGrid>
      <w:tr>
        <w:tc>
          <w:tcPr>
            <w:tcW w:type="dxa" w:w="20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12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0–20</w:t>
            </w:r>
          </w:p>
        </w:tc>
        <w:tc>
          <w:tcPr>
            <w:tcW w:type="dxa" w:w="11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20–40</w:t>
            </w:r>
          </w:p>
        </w:tc>
        <w:tc>
          <w:tcPr>
            <w:tcW w:type="dxa" w:w="11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40–60</w:t>
            </w:r>
          </w:p>
        </w:tc>
        <w:tc>
          <w:tcPr>
            <w:tcW w:type="dxa" w:w="11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60–80</w:t>
            </w:r>
          </w:p>
        </w:tc>
        <w:tc>
          <w:tcPr>
            <w:tcW w:type="dxa" w:w="11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80–100</w:t>
            </w:r>
          </w:p>
        </w:tc>
        <w:tc>
          <w:tcPr>
            <w:tcW w:type="dxa" w:w="14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Weight in Category</w:t>
            </w:r>
          </w:p>
        </w:tc>
      </w:tr>
      <w:tr>
        <w:tc>
          <w:tcPr>
            <w:tcW w:type="dxa" w:w="20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Return on Equity (ROE)</w:t>
            </w:r>
          </w:p>
        </w:tc>
        <w:tc>
          <w:tcPr>
            <w:tcW w:type="dxa" w:w="12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&lt; 5%</w:t>
            </w:r>
          </w:p>
        </w:tc>
        <w:tc>
          <w:tcPr>
            <w:tcW w:type="dxa" w:w="11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5–10%</w:t>
            </w:r>
          </w:p>
        </w:tc>
        <w:tc>
          <w:tcPr>
            <w:tcW w:type="dxa" w:w="11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10–15%</w:t>
            </w:r>
          </w:p>
        </w:tc>
        <w:tc>
          <w:tcPr>
            <w:tcW w:type="dxa" w:w="11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15–25%</w:t>
            </w:r>
          </w:p>
        </w:tc>
        <w:tc>
          <w:tcPr>
            <w:tcW w:type="dxa" w:w="11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&gt; 25%</w:t>
            </w:r>
          </w:p>
        </w:tc>
        <w:tc>
          <w:tcPr>
            <w:tcW w:type="dxa" w:w="14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35%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Return on Assets (ROA)</w:t>
            </w:r>
          </w:p>
        </w:tc>
        <w:tc>
          <w:tcPr>
            <w:tcW w:type="dxa" w:w="12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&lt; 2%</w:t>
            </w:r>
          </w:p>
        </w:tc>
        <w:tc>
          <w:tcPr>
            <w:tcW w:type="dxa" w:w="11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2–5%</w:t>
            </w:r>
          </w:p>
        </w:tc>
        <w:tc>
          <w:tcPr>
            <w:tcW w:type="dxa" w:w="11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5–8%</w:t>
            </w:r>
          </w:p>
        </w:tc>
        <w:tc>
          <w:tcPr>
            <w:tcW w:type="dxa" w:w="11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8–13%</w:t>
            </w:r>
          </w:p>
        </w:tc>
        <w:tc>
          <w:tcPr>
            <w:tcW w:type="dxa" w:w="11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&gt; 13%</w:t>
            </w:r>
          </w:p>
        </w:tc>
        <w:tc>
          <w:tcPr>
            <w:tcW w:type="dxa" w:w="14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30%</w:t>
            </w:r>
          </w:p>
        </w:tc>
      </w:tr>
      <w:tr>
        <w:tc>
          <w:tcPr>
            <w:tcW w:type="dxa" w:w="20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ROIC</w:t>
            </w:r>
          </w:p>
        </w:tc>
        <w:tc>
          <w:tcPr>
            <w:tcW w:type="dxa" w:w="12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&lt; 8%</w:t>
            </w:r>
          </w:p>
        </w:tc>
        <w:tc>
          <w:tcPr>
            <w:tcW w:type="dxa" w:w="11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8–12%</w:t>
            </w:r>
          </w:p>
        </w:tc>
        <w:tc>
          <w:tcPr>
            <w:tcW w:type="dxa" w:w="11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12–16%</w:t>
            </w:r>
          </w:p>
        </w:tc>
        <w:tc>
          <w:tcPr>
            <w:tcW w:type="dxa" w:w="11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16–22%</w:t>
            </w:r>
          </w:p>
        </w:tc>
        <w:tc>
          <w:tcPr>
            <w:tcW w:type="dxa" w:w="11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&gt; 22%</w:t>
            </w:r>
          </w:p>
        </w:tc>
        <w:tc>
          <w:tcPr>
            <w:tcW w:type="dxa" w:w="14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25%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Asset Turnover</w:t>
            </w:r>
          </w:p>
        </w:tc>
        <w:tc>
          <w:tcPr>
            <w:tcW w:type="dxa" w:w="12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&lt; 0.3x</w:t>
            </w:r>
          </w:p>
        </w:tc>
        <w:tc>
          <w:tcPr>
            <w:tcW w:type="dxa" w:w="11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0.3–0.5x</w:t>
            </w:r>
          </w:p>
        </w:tc>
        <w:tc>
          <w:tcPr>
            <w:tcW w:type="dxa" w:w="11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0.5–0.8x</w:t>
            </w:r>
          </w:p>
        </w:tc>
        <w:tc>
          <w:tcPr>
            <w:tcW w:type="dxa" w:w="11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0.8–1.2x</w:t>
            </w:r>
          </w:p>
        </w:tc>
        <w:tc>
          <w:tcPr>
            <w:tcW w:type="dxa" w:w="11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&gt; 1.2x</w:t>
            </w:r>
          </w:p>
        </w:tc>
        <w:tc>
          <w:tcPr>
            <w:tcW w:type="dxa" w:w="14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10%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Category 7 — Valuation (Lower = Better)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100"/>
        <w:gridCol w:w="1100"/>
        <w:gridCol w:w="1100"/>
        <w:gridCol w:w="1300"/>
        <w:gridCol w:w="1000"/>
      </w:tblGrid>
      <w:tr>
        <w:tc>
          <w:tcPr>
            <w:tcW w:type="dxa" w:w="20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14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80–100 (Cheap)</w:t>
            </w:r>
          </w:p>
        </w:tc>
        <w:tc>
          <w:tcPr>
            <w:tcW w:type="dxa" w:w="11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60–80</w:t>
            </w:r>
          </w:p>
        </w:tc>
        <w:tc>
          <w:tcPr>
            <w:tcW w:type="dxa" w:w="11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40–60</w:t>
            </w:r>
          </w:p>
        </w:tc>
        <w:tc>
          <w:tcPr>
            <w:tcW w:type="dxa" w:w="11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20–40</w:t>
            </w:r>
          </w:p>
        </w:tc>
        <w:tc>
          <w:tcPr>
            <w:tcW w:type="dxa" w:w="13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0–20 (Expensive)</w:t>
            </w:r>
          </w:p>
        </w:tc>
        <w:tc>
          <w:tcPr>
            <w:tcW w:type="dxa" w:w="10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Weight in Category</w:t>
            </w:r>
          </w:p>
        </w:tc>
      </w:tr>
      <w:tr>
        <w:tc>
          <w:tcPr>
            <w:tcW w:type="dxa" w:w="20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P/E vs Sector Average</w:t>
            </w:r>
          </w:p>
        </w:tc>
        <w:tc>
          <w:tcPr>
            <w:tcW w:type="dxa" w:w="14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&lt; 0.6x sector</w:t>
            </w:r>
          </w:p>
        </w:tc>
        <w:tc>
          <w:tcPr>
            <w:tcW w:type="dxa" w:w="11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0.6–0.8x</w:t>
            </w:r>
          </w:p>
        </w:tc>
        <w:tc>
          <w:tcPr>
            <w:tcW w:type="dxa" w:w="11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0.8–1.2x</w:t>
            </w:r>
          </w:p>
        </w:tc>
        <w:tc>
          <w:tcPr>
            <w:tcW w:type="dxa" w:w="11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1.2–1.5x</w:t>
            </w:r>
          </w:p>
        </w:tc>
        <w:tc>
          <w:tcPr>
            <w:tcW w:type="dxa" w:w="13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&gt; 1.5x sector</w:t>
            </w:r>
          </w:p>
        </w:tc>
        <w:tc>
          <w:tcPr>
            <w:tcW w:type="dxa" w:w="10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30%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P/E vs 5Y Own Average</w:t>
            </w:r>
          </w:p>
        </w:tc>
        <w:tc>
          <w:tcPr>
            <w:tcW w:type="dxa" w:w="14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&lt; 0.7x own avg</w:t>
            </w:r>
          </w:p>
        </w:tc>
        <w:tc>
          <w:tcPr>
            <w:tcW w:type="dxa" w:w="11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0.7–0.85x</w:t>
            </w:r>
          </w:p>
        </w:tc>
        <w:tc>
          <w:tcPr>
            <w:tcW w:type="dxa" w:w="11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0.85–1.15x</w:t>
            </w:r>
          </w:p>
        </w:tc>
        <w:tc>
          <w:tcPr>
            <w:tcW w:type="dxa" w:w="11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1.15–1.4x</w:t>
            </w:r>
          </w:p>
        </w:tc>
        <w:tc>
          <w:tcPr>
            <w:tcW w:type="dxa" w:w="13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&gt; 1.4x own avg</w:t>
            </w:r>
          </w:p>
        </w:tc>
        <w:tc>
          <w:tcPr>
            <w:tcW w:type="dxa" w:w="10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25%</w:t>
            </w:r>
          </w:p>
        </w:tc>
      </w:tr>
      <w:tr>
        <w:tc>
          <w:tcPr>
            <w:tcW w:type="dxa" w:w="20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P/B Ratio</w:t>
            </w:r>
          </w:p>
        </w:tc>
        <w:tc>
          <w:tcPr>
            <w:tcW w:type="dxa" w:w="14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&lt; 0.8x</w:t>
            </w:r>
          </w:p>
        </w:tc>
        <w:tc>
          <w:tcPr>
            <w:tcW w:type="dxa" w:w="11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0.8–1.5x</w:t>
            </w:r>
          </w:p>
        </w:tc>
        <w:tc>
          <w:tcPr>
            <w:tcW w:type="dxa" w:w="11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1.5–2.5x</w:t>
            </w:r>
          </w:p>
        </w:tc>
        <w:tc>
          <w:tcPr>
            <w:tcW w:type="dxa" w:w="11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2.5–4.0x</w:t>
            </w:r>
          </w:p>
        </w:tc>
        <w:tc>
          <w:tcPr>
            <w:tcW w:type="dxa" w:w="13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&gt; 4.0x</w:t>
            </w:r>
          </w:p>
        </w:tc>
        <w:tc>
          <w:tcPr>
            <w:tcW w:type="dxa" w:w="10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20%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EV/EBITDA vs Sector</w:t>
            </w:r>
          </w:p>
        </w:tc>
        <w:tc>
          <w:tcPr>
            <w:tcW w:type="dxa" w:w="14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&lt; 0.6x sector</w:t>
            </w:r>
          </w:p>
        </w:tc>
        <w:tc>
          <w:tcPr>
            <w:tcW w:type="dxa" w:w="11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0.6–0.8x</w:t>
            </w:r>
          </w:p>
        </w:tc>
        <w:tc>
          <w:tcPr>
            <w:tcW w:type="dxa" w:w="11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0.8–1.2x</w:t>
            </w:r>
          </w:p>
        </w:tc>
        <w:tc>
          <w:tcPr>
            <w:tcW w:type="dxa" w:w="11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1.2–1.6x</w:t>
            </w:r>
          </w:p>
        </w:tc>
        <w:tc>
          <w:tcPr>
            <w:tcW w:type="dxa" w:w="13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&gt; 1.6x sector</w:t>
            </w:r>
          </w:p>
        </w:tc>
        <w:tc>
          <w:tcPr>
            <w:tcW w:type="dxa" w:w="10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15%</w:t>
            </w:r>
          </w:p>
        </w:tc>
      </w:tr>
      <w:tr>
        <w:tc>
          <w:tcPr>
            <w:tcW w:type="dxa" w:w="20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P/FCF</w:t>
            </w:r>
          </w:p>
        </w:tc>
        <w:tc>
          <w:tcPr>
            <w:tcW w:type="dxa" w:w="14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&lt; 8x</w:t>
            </w:r>
          </w:p>
        </w:tc>
        <w:tc>
          <w:tcPr>
            <w:tcW w:type="dxa" w:w="11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8–14x</w:t>
            </w:r>
          </w:p>
        </w:tc>
        <w:tc>
          <w:tcPr>
            <w:tcW w:type="dxa" w:w="11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14–20x</w:t>
            </w:r>
          </w:p>
        </w:tc>
        <w:tc>
          <w:tcPr>
            <w:tcW w:type="dxa" w:w="11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20–28x</w:t>
            </w:r>
          </w:p>
        </w:tc>
        <w:tc>
          <w:tcPr>
            <w:tcW w:type="dxa" w:w="13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&gt; 28x</w:t>
            </w:r>
          </w:p>
        </w:tc>
        <w:tc>
          <w:tcPr>
            <w:tcW w:type="dxa" w:w="10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10%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Category 8 — Dividend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100"/>
        <w:gridCol w:w="1100"/>
        <w:gridCol w:w="1100"/>
        <w:gridCol w:w="1100"/>
        <w:gridCol w:w="1400"/>
      </w:tblGrid>
      <w:tr>
        <w:tc>
          <w:tcPr>
            <w:tcW w:type="dxa" w:w="20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12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0–20</w:t>
            </w:r>
          </w:p>
        </w:tc>
        <w:tc>
          <w:tcPr>
            <w:tcW w:type="dxa" w:w="11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20–40</w:t>
            </w:r>
          </w:p>
        </w:tc>
        <w:tc>
          <w:tcPr>
            <w:tcW w:type="dxa" w:w="11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40–60</w:t>
            </w:r>
          </w:p>
        </w:tc>
        <w:tc>
          <w:tcPr>
            <w:tcW w:type="dxa" w:w="11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60–80</w:t>
            </w:r>
          </w:p>
        </w:tc>
        <w:tc>
          <w:tcPr>
            <w:tcW w:type="dxa" w:w="11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80–100</w:t>
            </w:r>
          </w:p>
        </w:tc>
        <w:tc>
          <w:tcPr>
            <w:tcW w:type="dxa" w:w="14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Weight in Category</w:t>
            </w:r>
          </w:p>
        </w:tc>
      </w:tr>
      <w:tr>
        <w:tc>
          <w:tcPr>
            <w:tcW w:type="dxa" w:w="20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Dividend Yield</w:t>
            </w:r>
          </w:p>
        </w:tc>
        <w:tc>
          <w:tcPr>
            <w:tcW w:type="dxa" w:w="12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0% (no div)</w:t>
            </w:r>
          </w:p>
        </w:tc>
        <w:tc>
          <w:tcPr>
            <w:tcW w:type="dxa" w:w="11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0–2%</w:t>
            </w:r>
          </w:p>
        </w:tc>
        <w:tc>
          <w:tcPr>
            <w:tcW w:type="dxa" w:w="11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2–4%</w:t>
            </w:r>
          </w:p>
        </w:tc>
        <w:tc>
          <w:tcPr>
            <w:tcW w:type="dxa" w:w="11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4–6%</w:t>
            </w:r>
          </w:p>
        </w:tc>
        <w:tc>
          <w:tcPr>
            <w:tcW w:type="dxa" w:w="11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&gt; 6%</w:t>
            </w:r>
          </w:p>
        </w:tc>
        <w:tc>
          <w:tcPr>
            <w:tcW w:type="dxa" w:w="14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35%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Payout Ratio</w:t>
            </w:r>
          </w:p>
        </w:tc>
        <w:tc>
          <w:tcPr>
            <w:tcW w:type="dxa" w:w="12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0% or &gt;90%</w:t>
            </w:r>
          </w:p>
        </w:tc>
        <w:tc>
          <w:tcPr>
            <w:tcW w:type="dxa" w:w="11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75–90%</w:t>
            </w:r>
          </w:p>
        </w:tc>
        <w:tc>
          <w:tcPr>
            <w:tcW w:type="dxa" w:w="11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55–75%</w:t>
            </w:r>
          </w:p>
        </w:tc>
        <w:tc>
          <w:tcPr>
            <w:tcW w:type="dxa" w:w="11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35–55%</w:t>
            </w:r>
          </w:p>
        </w:tc>
        <w:tc>
          <w:tcPr>
            <w:tcW w:type="dxa" w:w="11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20–35%</w:t>
            </w:r>
          </w:p>
        </w:tc>
        <w:tc>
          <w:tcPr>
            <w:tcW w:type="dxa" w:w="14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25%</w:t>
            </w:r>
          </w:p>
        </w:tc>
      </w:tr>
      <w:tr>
        <w:tc>
          <w:tcPr>
            <w:tcW w:type="dxa" w:w="20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Years of Consecutive Dividend</w:t>
            </w:r>
          </w:p>
        </w:tc>
        <w:tc>
          <w:tcPr>
            <w:tcW w:type="dxa" w:w="12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0 years</w:t>
            </w:r>
          </w:p>
        </w:tc>
        <w:tc>
          <w:tcPr>
            <w:tcW w:type="dxa" w:w="11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1–2 years</w:t>
            </w:r>
          </w:p>
        </w:tc>
        <w:tc>
          <w:tcPr>
            <w:tcW w:type="dxa" w:w="11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3–4 years</w:t>
            </w:r>
          </w:p>
        </w:tc>
        <w:tc>
          <w:tcPr>
            <w:tcW w:type="dxa" w:w="11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5–7 years</w:t>
            </w:r>
          </w:p>
        </w:tc>
        <w:tc>
          <w:tcPr>
            <w:tcW w:type="dxa" w:w="11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&gt; 7 years</w:t>
            </w:r>
          </w:p>
        </w:tc>
        <w:tc>
          <w:tcPr>
            <w:tcW w:type="dxa" w:w="14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25%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Dividend Growth (3Y)</w:t>
            </w:r>
          </w:p>
        </w:tc>
        <w:tc>
          <w:tcPr>
            <w:tcW w:type="dxa" w:w="12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Cut dividend</w:t>
            </w:r>
          </w:p>
        </w:tc>
        <w:tc>
          <w:tcPr>
            <w:tcW w:type="dxa" w:w="11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0% (flat)</w:t>
            </w:r>
          </w:p>
        </w:tc>
        <w:tc>
          <w:tcPr>
            <w:tcW w:type="dxa" w:w="11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1–5% growth</w:t>
            </w:r>
          </w:p>
        </w:tc>
        <w:tc>
          <w:tcPr>
            <w:tcW w:type="dxa" w:w="11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5–10% growth</w:t>
            </w:r>
          </w:p>
        </w:tc>
        <w:tc>
          <w:tcPr>
            <w:tcW w:type="dxa" w:w="11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&gt; 10% growth</w:t>
            </w:r>
          </w:p>
        </w:tc>
        <w:tc>
          <w:tcPr>
            <w:tcW w:type="dxa" w:w="14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15%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Category 9 — Management Quality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1200"/>
        <w:gridCol w:w="1200"/>
        <w:gridCol w:w="1200"/>
        <w:gridCol w:w="1200"/>
        <w:gridCol w:w="900"/>
      </w:tblGrid>
      <w:tr>
        <w:tc>
          <w:tcPr>
            <w:tcW w:type="dxa" w:w="20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13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0–20</w:t>
            </w:r>
          </w:p>
        </w:tc>
        <w:tc>
          <w:tcPr>
            <w:tcW w:type="dxa" w:w="12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20–40</w:t>
            </w:r>
          </w:p>
        </w:tc>
        <w:tc>
          <w:tcPr>
            <w:tcW w:type="dxa" w:w="12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40–60</w:t>
            </w:r>
          </w:p>
        </w:tc>
        <w:tc>
          <w:tcPr>
            <w:tcW w:type="dxa" w:w="12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60–80</w:t>
            </w:r>
          </w:p>
        </w:tc>
        <w:tc>
          <w:tcPr>
            <w:tcW w:type="dxa" w:w="12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80–100</w:t>
            </w:r>
          </w:p>
        </w:tc>
        <w:tc>
          <w:tcPr>
            <w:tcW w:type="dxa" w:w="9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Weight in Category</w:t>
            </w:r>
          </w:p>
        </w:tc>
      </w:tr>
      <w:tr>
        <w:tc>
          <w:tcPr>
            <w:tcW w:type="dxa" w:w="20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Earnings Guidance Accuracy</w:t>
            </w:r>
          </w:p>
        </w:tc>
        <w:tc>
          <w:tcPr>
            <w:tcW w:type="dxa" w:w="13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Never guides / wrong</w:t>
            </w:r>
          </w:p>
        </w:tc>
        <w:tc>
          <w:tcPr>
            <w:tcW w:type="dxa" w:w="12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Often wrong</w:t>
            </w:r>
          </w:p>
        </w:tc>
        <w:tc>
          <w:tcPr>
            <w:tcW w:type="dxa" w:w="12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Sometimes right</w:t>
            </w:r>
          </w:p>
        </w:tc>
        <w:tc>
          <w:tcPr>
            <w:tcW w:type="dxa" w:w="12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Usually accurate</w:t>
            </w:r>
          </w:p>
        </w:tc>
        <w:tc>
          <w:tcPr>
            <w:tcW w:type="dxa" w:w="12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Consistently accurate</w:t>
            </w:r>
          </w:p>
        </w:tc>
        <w:tc>
          <w:tcPr>
            <w:tcW w:type="dxa" w:w="9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40%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Capex Efficiency</w:t>
            </w:r>
          </w:p>
        </w:tc>
        <w:tc>
          <w:tcPr>
            <w:tcW w:type="dxa" w:w="13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Capex with no return</w:t>
            </w:r>
          </w:p>
        </w:tc>
        <w:tc>
          <w:tcPr>
            <w:tcW w:type="dxa" w:w="12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Below cost of capital</w:t>
            </w:r>
          </w:p>
        </w:tc>
        <w:tc>
          <w:tcPr>
            <w:tcW w:type="dxa" w:w="12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Meets cost of capital</w:t>
            </w:r>
          </w:p>
        </w:tc>
        <w:tc>
          <w:tcPr>
            <w:tcW w:type="dxa" w:w="12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Slightly above</w:t>
            </w:r>
          </w:p>
        </w:tc>
        <w:tc>
          <w:tcPr>
            <w:tcW w:type="dxa" w:w="12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Well above cost of capital</w:t>
            </w:r>
          </w:p>
        </w:tc>
        <w:tc>
          <w:tcPr>
            <w:tcW w:type="dxa" w:w="9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35%</w:t>
            </w:r>
          </w:p>
        </w:tc>
      </w:tr>
      <w:tr>
        <w:tc>
          <w:tcPr>
            <w:tcW w:type="dxa" w:w="20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Insider Ownership %</w:t>
            </w:r>
          </w:p>
        </w:tc>
        <w:tc>
          <w:tcPr>
            <w:tcW w:type="dxa" w:w="13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&lt; 5%</w:t>
            </w:r>
          </w:p>
        </w:tc>
        <w:tc>
          <w:tcPr>
            <w:tcW w:type="dxa" w:w="12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5–15%</w:t>
            </w:r>
          </w:p>
        </w:tc>
        <w:tc>
          <w:tcPr>
            <w:tcW w:type="dxa" w:w="12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15–25%</w:t>
            </w:r>
          </w:p>
        </w:tc>
        <w:tc>
          <w:tcPr>
            <w:tcW w:type="dxa" w:w="12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25–40%</w:t>
            </w:r>
          </w:p>
        </w:tc>
        <w:tc>
          <w:tcPr>
            <w:tcW w:type="dxa" w:w="12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&gt; 40%</w:t>
            </w:r>
          </w:p>
        </w:tc>
        <w:tc>
          <w:tcPr>
            <w:tcW w:type="dxa" w:w="9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25%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Category 10 — Risk Score (Lower risk = Higher score)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100"/>
        <w:gridCol w:w="1100"/>
        <w:gridCol w:w="1100"/>
        <w:gridCol w:w="1300"/>
        <w:gridCol w:w="1000"/>
      </w:tblGrid>
      <w:tr>
        <w:tc>
          <w:tcPr>
            <w:tcW w:type="dxa" w:w="20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14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80–100 (Low Risk)</w:t>
            </w:r>
          </w:p>
        </w:tc>
        <w:tc>
          <w:tcPr>
            <w:tcW w:type="dxa" w:w="11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60–80</w:t>
            </w:r>
          </w:p>
        </w:tc>
        <w:tc>
          <w:tcPr>
            <w:tcW w:type="dxa" w:w="11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40–60</w:t>
            </w:r>
          </w:p>
        </w:tc>
        <w:tc>
          <w:tcPr>
            <w:tcW w:type="dxa" w:w="11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20–40</w:t>
            </w:r>
          </w:p>
        </w:tc>
        <w:tc>
          <w:tcPr>
            <w:tcW w:type="dxa" w:w="13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0–20 (High Risk)</w:t>
            </w:r>
          </w:p>
        </w:tc>
        <w:tc>
          <w:tcPr>
            <w:tcW w:type="dxa" w:w="10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Weight in Category</w:t>
            </w:r>
          </w:p>
        </w:tc>
      </w:tr>
      <w:tr>
        <w:tc>
          <w:tcPr>
            <w:tcW w:type="dxa" w:w="20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EPS Volatility (5Y std dev)</w:t>
            </w:r>
          </w:p>
        </w:tc>
        <w:tc>
          <w:tcPr>
            <w:tcW w:type="dxa" w:w="14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&lt; 5% std dev</w:t>
            </w:r>
          </w:p>
        </w:tc>
        <w:tc>
          <w:tcPr>
            <w:tcW w:type="dxa" w:w="11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5–12%</w:t>
            </w:r>
          </w:p>
        </w:tc>
        <w:tc>
          <w:tcPr>
            <w:tcW w:type="dxa" w:w="11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12–20%</w:t>
            </w:r>
          </w:p>
        </w:tc>
        <w:tc>
          <w:tcPr>
            <w:tcW w:type="dxa" w:w="11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20–30%</w:t>
            </w:r>
          </w:p>
        </w:tc>
        <w:tc>
          <w:tcPr>
            <w:tcW w:type="dxa" w:w="13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&gt; 30% std dev</w:t>
            </w:r>
          </w:p>
        </w:tc>
        <w:tc>
          <w:tcPr>
            <w:tcW w:type="dxa" w:w="10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35%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Revenue Volatility (5Y)</w:t>
            </w:r>
          </w:p>
        </w:tc>
        <w:tc>
          <w:tcPr>
            <w:tcW w:type="dxa" w:w="14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&lt; 5% std dev</w:t>
            </w:r>
          </w:p>
        </w:tc>
        <w:tc>
          <w:tcPr>
            <w:tcW w:type="dxa" w:w="11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5–10%</w:t>
            </w:r>
          </w:p>
        </w:tc>
        <w:tc>
          <w:tcPr>
            <w:tcW w:type="dxa" w:w="11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10–18%</w:t>
            </w:r>
          </w:p>
        </w:tc>
        <w:tc>
          <w:tcPr>
            <w:tcW w:type="dxa" w:w="11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18–25%</w:t>
            </w:r>
          </w:p>
        </w:tc>
        <w:tc>
          <w:tcPr>
            <w:tcW w:type="dxa" w:w="13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&gt; 25% std dev</w:t>
            </w:r>
          </w:p>
        </w:tc>
        <w:tc>
          <w:tcPr>
            <w:tcW w:type="dxa" w:w="10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30%</w:t>
            </w:r>
          </w:p>
        </w:tc>
      </w:tr>
      <w:tr>
        <w:tc>
          <w:tcPr>
            <w:tcW w:type="dxa" w:w="20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Debt Trend</w:t>
            </w:r>
          </w:p>
        </w:tc>
        <w:tc>
          <w:tcPr>
            <w:tcW w:type="dxa" w:w="14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Consistently falling</w:t>
            </w:r>
          </w:p>
        </w:tc>
        <w:tc>
          <w:tcPr>
            <w:tcW w:type="dxa" w:w="11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Slightly falling</w:t>
            </w:r>
          </w:p>
        </w:tc>
        <w:tc>
          <w:tcPr>
            <w:tcW w:type="dxa" w:w="11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Flat</w:t>
            </w:r>
          </w:p>
        </w:tc>
        <w:tc>
          <w:tcPr>
            <w:tcW w:type="dxa" w:w="11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Slightly rising</w:t>
            </w:r>
          </w:p>
        </w:tc>
        <w:tc>
          <w:tcPr>
            <w:tcW w:type="dxa" w:w="13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Rising fast</w:t>
            </w:r>
          </w:p>
        </w:tc>
        <w:tc>
          <w:tcPr>
            <w:tcW w:type="dxa" w:w="10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20%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Sector Cyclicality</w:t>
            </w:r>
          </w:p>
        </w:tc>
        <w:tc>
          <w:tcPr>
            <w:tcW w:type="dxa" w:w="14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Non-cyclical sector</w:t>
            </w:r>
          </w:p>
        </w:tc>
        <w:tc>
          <w:tcPr>
            <w:tcW w:type="dxa" w:w="11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Mild cyclicality</w:t>
            </w:r>
          </w:p>
        </w:tc>
        <w:tc>
          <w:tcPr>
            <w:tcW w:type="dxa" w:w="11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Moderate</w:t>
            </w:r>
          </w:p>
        </w:tc>
        <w:tc>
          <w:tcPr>
            <w:tcW w:type="dxa" w:w="11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Cyclical</w:t>
            </w:r>
          </w:p>
        </w:tc>
        <w:tc>
          <w:tcPr>
            <w:tcW w:type="dxa" w:w="13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Highly cyclical</w:t>
            </w:r>
          </w:p>
        </w:tc>
        <w:tc>
          <w:tcPr>
            <w:tcW w:type="dxa" w:w="10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15%</w:t>
            </w:r>
          </w:p>
        </w:tc>
      </w:tr>
    </w:tbl>
    <w:p>
      <w:r>
        <w:br w:type="page"/>
      </w:r>
    </w:p>
    <w:p>
      <w:pPr>
        <w:pBdr>
          <w:bottom w:val="single" w:color="2E86AB" w:sz="10"/>
        </w:pBdr>
        <w:spacing w:after="200" w:before="460"/>
      </w:pPr>
      <w:r>
        <w:rPr>
          <w:rFonts w:ascii="Calibri" w:cs="Calibri" w:eastAsia="Calibri" w:hAnsi="Calibri"/>
          <w:b/>
          <w:bCs/>
          <w:color w:val="1E3A5F"/>
          <w:sz w:val="40"/>
          <w:szCs w:val="40"/>
        </w:rPr>
        <w:t xml:space="preserve">Section 3 — PSX-Specific Benchmarks</w:t>
      </w:r>
    </w:p>
    <w:p>
      <w:pPr>
        <w:spacing w:after="65" w:before="6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All scoring thresholds are calibrated to Pakistan Stock Exchange realities — NOT US market benchmarks. PSX companies have different average margins, growth rates, and valuations.</w:t>
      </w:r>
    </w:p>
    <w:p>
      <w:pPr>
        <w:spacing w:after="80" w:before="80"/>
      </w:pPr>
      <w:r>
        <w:t xml:space="preserve"/>
      </w:r>
    </w:p>
    <w:p>
      <w:pPr>
        <w:spacing w:after="140" w:before="300"/>
      </w:pPr>
      <w:r>
        <w:rPr>
          <w:rFonts w:ascii="Calibri" w:cs="Calibri" w:eastAsia="Calibri" w:hAnsi="Calibri"/>
          <w:b/>
          <w:bCs/>
          <w:color w:val="2E86AB"/>
          <w:sz w:val="30"/>
          <w:szCs w:val="30"/>
        </w:rPr>
        <w:t xml:space="preserve">3.1 Sector Benchmark Reference Table</w:t>
      </w:r>
    </w:p>
    <w:p>
      <w:pPr>
        <w:spacing w:after="65" w:before="6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These benchmarks are used to compare company metrics against sector peers. Calculated from historical PSX data.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1200"/>
        <w:gridCol w:w="1200"/>
        <w:gridCol w:w="1200"/>
        <w:gridCol w:w="1200"/>
        <w:gridCol w:w="1100"/>
      </w:tblGrid>
      <w:tr>
        <w:tc>
          <w:tcPr>
            <w:tcW w:type="dxa" w:w="20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Sector</w:t>
            </w:r>
          </w:p>
        </w:tc>
        <w:tc>
          <w:tcPr>
            <w:tcW w:type="dxa" w:w="13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Avg Net Margin</w:t>
            </w:r>
          </w:p>
        </w:tc>
        <w:tc>
          <w:tcPr>
            <w:tcW w:type="dxa" w:w="12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Avg ROE</w:t>
            </w:r>
          </w:p>
        </w:tc>
        <w:tc>
          <w:tcPr>
            <w:tcW w:type="dxa" w:w="12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Avg P/E</w:t>
            </w:r>
          </w:p>
        </w:tc>
        <w:tc>
          <w:tcPr>
            <w:tcW w:type="dxa" w:w="12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Avg D/E</w:t>
            </w:r>
          </w:p>
        </w:tc>
        <w:tc>
          <w:tcPr>
            <w:tcW w:type="dxa" w:w="12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Avg Div Yield</w:t>
            </w:r>
          </w:p>
        </w:tc>
        <w:tc>
          <w:tcPr>
            <w:tcW w:type="dxa" w:w="11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Avg Rev Growth</w:t>
            </w:r>
          </w:p>
        </w:tc>
      </w:tr>
      <w:tr>
        <w:tc>
          <w:tcPr>
            <w:tcW w:type="dxa" w:w="20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Oil &amp; Gas Exploration</w:t>
            </w:r>
          </w:p>
        </w:tc>
        <w:tc>
          <w:tcPr>
            <w:tcW w:type="dxa" w:w="13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28–35%</w:t>
            </w:r>
          </w:p>
        </w:tc>
        <w:tc>
          <w:tcPr>
            <w:tcW w:type="dxa" w:w="12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18–25%</w:t>
            </w:r>
          </w:p>
        </w:tc>
        <w:tc>
          <w:tcPr>
            <w:tcW w:type="dxa" w:w="12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5–9x</w:t>
            </w:r>
          </w:p>
        </w:tc>
        <w:tc>
          <w:tcPr>
            <w:tcW w:type="dxa" w:w="12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0.2–0.6x</w:t>
            </w:r>
          </w:p>
        </w:tc>
        <w:tc>
          <w:tcPr>
            <w:tcW w:type="dxa" w:w="12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6–9%</w:t>
            </w:r>
          </w:p>
        </w:tc>
        <w:tc>
          <w:tcPr>
            <w:tcW w:type="dxa" w:w="11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4–10%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Oil &amp; Gas Marketing</w:t>
            </w:r>
          </w:p>
        </w:tc>
        <w:tc>
          <w:tcPr>
            <w:tcW w:type="dxa" w:w="13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1–3%</w:t>
            </w:r>
          </w:p>
        </w:tc>
        <w:tc>
          <w:tcPr>
            <w:tcW w:type="dxa" w:w="12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15–22%</w:t>
            </w:r>
          </w:p>
        </w:tc>
        <w:tc>
          <w:tcPr>
            <w:tcW w:type="dxa" w:w="12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6–12x</w:t>
            </w:r>
          </w:p>
        </w:tc>
        <w:tc>
          <w:tcPr>
            <w:tcW w:type="dxa" w:w="12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1.5–3.0x</w:t>
            </w:r>
          </w:p>
        </w:tc>
        <w:tc>
          <w:tcPr>
            <w:tcW w:type="dxa" w:w="12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3–5%</w:t>
            </w:r>
          </w:p>
        </w:tc>
        <w:tc>
          <w:tcPr>
            <w:tcW w:type="dxa" w:w="11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8–18%</w:t>
            </w:r>
          </w:p>
        </w:tc>
      </w:tr>
      <w:tr>
        <w:tc>
          <w:tcPr>
            <w:tcW w:type="dxa" w:w="20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Banks</w:t>
            </w:r>
          </w:p>
        </w:tc>
        <w:tc>
          <w:tcPr>
            <w:tcW w:type="dxa" w:w="13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20–30% (ROA: 1–2%)</w:t>
            </w:r>
          </w:p>
        </w:tc>
        <w:tc>
          <w:tcPr>
            <w:tcW w:type="dxa" w:w="12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12–18%</w:t>
            </w:r>
          </w:p>
        </w:tc>
        <w:tc>
          <w:tcPr>
            <w:tcW w:type="dxa" w:w="12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6–10x</w:t>
            </w:r>
          </w:p>
        </w:tc>
        <w:tc>
          <w:tcPr>
            <w:tcW w:type="dxa" w:w="12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5–9%</w:t>
            </w:r>
          </w:p>
        </w:tc>
        <w:tc>
          <w:tcPr>
            <w:tcW w:type="dxa" w:w="11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10–18%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Fertilizer</w:t>
            </w:r>
          </w:p>
        </w:tc>
        <w:tc>
          <w:tcPr>
            <w:tcW w:type="dxa" w:w="13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15–25%</w:t>
            </w:r>
          </w:p>
        </w:tc>
        <w:tc>
          <w:tcPr>
            <w:tcW w:type="dxa" w:w="12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22–35%</w:t>
            </w:r>
          </w:p>
        </w:tc>
        <w:tc>
          <w:tcPr>
            <w:tcW w:type="dxa" w:w="12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7–12x</w:t>
            </w:r>
          </w:p>
        </w:tc>
        <w:tc>
          <w:tcPr>
            <w:tcW w:type="dxa" w:w="12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0.5–1.5x</w:t>
            </w:r>
          </w:p>
        </w:tc>
        <w:tc>
          <w:tcPr>
            <w:tcW w:type="dxa" w:w="12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6–10%</w:t>
            </w:r>
          </w:p>
        </w:tc>
        <w:tc>
          <w:tcPr>
            <w:tcW w:type="dxa" w:w="11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5–12%</w:t>
            </w:r>
          </w:p>
        </w:tc>
      </w:tr>
      <w:tr>
        <w:tc>
          <w:tcPr>
            <w:tcW w:type="dxa" w:w="20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Cement</w:t>
            </w:r>
          </w:p>
        </w:tc>
        <w:tc>
          <w:tcPr>
            <w:tcW w:type="dxa" w:w="13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10–18%</w:t>
            </w:r>
          </w:p>
        </w:tc>
        <w:tc>
          <w:tcPr>
            <w:tcW w:type="dxa" w:w="12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15–22%</w:t>
            </w:r>
          </w:p>
        </w:tc>
        <w:tc>
          <w:tcPr>
            <w:tcW w:type="dxa" w:w="12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8–14x</w:t>
            </w:r>
          </w:p>
        </w:tc>
        <w:tc>
          <w:tcPr>
            <w:tcW w:type="dxa" w:w="12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0.5–1.5x</w:t>
            </w:r>
          </w:p>
        </w:tc>
        <w:tc>
          <w:tcPr>
            <w:tcW w:type="dxa" w:w="12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3–6%</w:t>
            </w:r>
          </w:p>
        </w:tc>
        <w:tc>
          <w:tcPr>
            <w:tcW w:type="dxa" w:w="11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5–15%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Power / IPPs</w:t>
            </w:r>
          </w:p>
        </w:tc>
        <w:tc>
          <w:tcPr>
            <w:tcW w:type="dxa" w:w="13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15–25%</w:t>
            </w:r>
          </w:p>
        </w:tc>
        <w:tc>
          <w:tcPr>
            <w:tcW w:type="dxa" w:w="12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16–24%</w:t>
            </w:r>
          </w:p>
        </w:tc>
        <w:tc>
          <w:tcPr>
            <w:tcW w:type="dxa" w:w="12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5–10x</w:t>
            </w:r>
          </w:p>
        </w:tc>
        <w:tc>
          <w:tcPr>
            <w:tcW w:type="dxa" w:w="12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1.0–3.0x</w:t>
            </w:r>
          </w:p>
        </w:tc>
        <w:tc>
          <w:tcPr>
            <w:tcW w:type="dxa" w:w="12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8–12%</w:t>
            </w:r>
          </w:p>
        </w:tc>
        <w:tc>
          <w:tcPr>
            <w:tcW w:type="dxa" w:w="11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5–10%</w:t>
            </w:r>
          </w:p>
        </w:tc>
      </w:tr>
      <w:tr>
        <w:tc>
          <w:tcPr>
            <w:tcW w:type="dxa" w:w="20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Textile</w:t>
            </w:r>
          </w:p>
        </w:tc>
        <w:tc>
          <w:tcPr>
            <w:tcW w:type="dxa" w:w="13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5–10%</w:t>
            </w:r>
          </w:p>
        </w:tc>
        <w:tc>
          <w:tcPr>
            <w:tcW w:type="dxa" w:w="12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10–18%</w:t>
            </w:r>
          </w:p>
        </w:tc>
        <w:tc>
          <w:tcPr>
            <w:tcW w:type="dxa" w:w="12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6–12x</w:t>
            </w:r>
          </w:p>
        </w:tc>
        <w:tc>
          <w:tcPr>
            <w:tcW w:type="dxa" w:w="12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0.8–2.0x</w:t>
            </w:r>
          </w:p>
        </w:tc>
        <w:tc>
          <w:tcPr>
            <w:tcW w:type="dxa" w:w="12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2–4%</w:t>
            </w:r>
          </w:p>
        </w:tc>
        <w:tc>
          <w:tcPr>
            <w:tcW w:type="dxa" w:w="11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5–12%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Pharma</w:t>
            </w:r>
          </w:p>
        </w:tc>
        <w:tc>
          <w:tcPr>
            <w:tcW w:type="dxa" w:w="13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12–18%</w:t>
            </w:r>
          </w:p>
        </w:tc>
        <w:tc>
          <w:tcPr>
            <w:tcW w:type="dxa" w:w="12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18–25%</w:t>
            </w:r>
          </w:p>
        </w:tc>
        <w:tc>
          <w:tcPr>
            <w:tcW w:type="dxa" w:w="12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14–20x</w:t>
            </w:r>
          </w:p>
        </w:tc>
        <w:tc>
          <w:tcPr>
            <w:tcW w:type="dxa" w:w="12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0.3–1.0x</w:t>
            </w:r>
          </w:p>
        </w:tc>
        <w:tc>
          <w:tcPr>
            <w:tcW w:type="dxa" w:w="12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2–5%</w:t>
            </w:r>
          </w:p>
        </w:tc>
        <w:tc>
          <w:tcPr>
            <w:tcW w:type="dxa" w:w="11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8–14%</w:t>
            </w:r>
          </w:p>
        </w:tc>
      </w:tr>
      <w:tr>
        <w:tc>
          <w:tcPr>
            <w:tcW w:type="dxa" w:w="20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Technology</w:t>
            </w:r>
          </w:p>
        </w:tc>
        <w:tc>
          <w:tcPr>
            <w:tcW w:type="dxa" w:w="13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12–22%</w:t>
            </w:r>
          </w:p>
        </w:tc>
        <w:tc>
          <w:tcPr>
            <w:tcW w:type="dxa" w:w="12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20–35%</w:t>
            </w:r>
          </w:p>
        </w:tc>
        <w:tc>
          <w:tcPr>
            <w:tcW w:type="dxa" w:w="12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15–25x</w:t>
            </w:r>
          </w:p>
        </w:tc>
        <w:tc>
          <w:tcPr>
            <w:tcW w:type="dxa" w:w="12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0.1–0.5x</w:t>
            </w:r>
          </w:p>
        </w:tc>
        <w:tc>
          <w:tcPr>
            <w:tcW w:type="dxa" w:w="12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1–4%</w:t>
            </w:r>
          </w:p>
        </w:tc>
        <w:tc>
          <w:tcPr>
            <w:tcW w:type="dxa" w:w="11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15–30%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Food / FMCG</w:t>
            </w:r>
          </w:p>
        </w:tc>
        <w:tc>
          <w:tcPr>
            <w:tcW w:type="dxa" w:w="13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8–15%</w:t>
            </w:r>
          </w:p>
        </w:tc>
        <w:tc>
          <w:tcPr>
            <w:tcW w:type="dxa" w:w="12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25–35%</w:t>
            </w:r>
          </w:p>
        </w:tc>
        <w:tc>
          <w:tcPr>
            <w:tcW w:type="dxa" w:w="12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20–30x</w:t>
            </w:r>
          </w:p>
        </w:tc>
        <w:tc>
          <w:tcPr>
            <w:tcW w:type="dxa" w:w="12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0.5–1.5x</w:t>
            </w:r>
          </w:p>
        </w:tc>
        <w:tc>
          <w:tcPr>
            <w:tcW w:type="dxa" w:w="12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2–5%</w:t>
            </w:r>
          </w:p>
        </w:tc>
        <w:tc>
          <w:tcPr>
            <w:tcW w:type="dxa" w:w="11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8–15%</w:t>
            </w:r>
          </w:p>
        </w:tc>
      </w:tr>
      <w:tr>
        <w:tc>
          <w:tcPr>
            <w:tcW w:type="dxa" w:w="20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Chemicals</w:t>
            </w:r>
          </w:p>
        </w:tc>
        <w:tc>
          <w:tcPr>
            <w:tcW w:type="dxa" w:w="13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10–15%</w:t>
            </w:r>
          </w:p>
        </w:tc>
        <w:tc>
          <w:tcPr>
            <w:tcW w:type="dxa" w:w="12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15–22%</w:t>
            </w:r>
          </w:p>
        </w:tc>
        <w:tc>
          <w:tcPr>
            <w:tcW w:type="dxa" w:w="12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10–16x</w:t>
            </w:r>
          </w:p>
        </w:tc>
        <w:tc>
          <w:tcPr>
            <w:tcW w:type="dxa" w:w="12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0.5–1.2x</w:t>
            </w:r>
          </w:p>
        </w:tc>
        <w:tc>
          <w:tcPr>
            <w:tcW w:type="dxa" w:w="12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3–6%</w:t>
            </w:r>
          </w:p>
        </w:tc>
        <w:tc>
          <w:tcPr>
            <w:tcW w:type="dxa" w:w="11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6–12%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Steel</w:t>
            </w:r>
          </w:p>
        </w:tc>
        <w:tc>
          <w:tcPr>
            <w:tcW w:type="dxa" w:w="13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4–10%</w:t>
            </w:r>
          </w:p>
        </w:tc>
        <w:tc>
          <w:tcPr>
            <w:tcW w:type="dxa" w:w="12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12–20%</w:t>
            </w:r>
          </w:p>
        </w:tc>
        <w:tc>
          <w:tcPr>
            <w:tcW w:type="dxa" w:w="12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6–10x</w:t>
            </w:r>
          </w:p>
        </w:tc>
        <w:tc>
          <w:tcPr>
            <w:tcW w:type="dxa" w:w="12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1.0–2.5x</w:t>
            </w:r>
          </w:p>
        </w:tc>
        <w:tc>
          <w:tcPr>
            <w:tcW w:type="dxa" w:w="12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2–5%</w:t>
            </w:r>
          </w:p>
        </w:tc>
        <w:tc>
          <w:tcPr>
            <w:tcW w:type="dxa" w:w="11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5–12%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spacing w:after="140" w:before="300"/>
      </w:pPr>
      <w:r>
        <w:rPr>
          <w:rFonts w:ascii="Calibri" w:cs="Calibri" w:eastAsia="Calibri" w:hAnsi="Calibri"/>
          <w:b/>
          <w:bCs/>
          <w:color w:val="2E86AB"/>
          <w:sz w:val="30"/>
          <w:szCs w:val="30"/>
        </w:rPr>
        <w:t xml:space="preserve">3.2 KSE-100 Overall Median Benchmarks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500"/>
        <w:gridCol w:w="1500"/>
      </w:tblGrid>
      <w:tr>
        <w:tc>
          <w:tcPr>
            <w:tcW w:type="dxa" w:w="30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0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KSE-100 Median</w:t>
            </w:r>
          </w:p>
        </w:tc>
        <w:tc>
          <w:tcPr>
            <w:tcW w:type="dxa" w:w="25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Top 25% Threshold</w:t>
            </w:r>
          </w:p>
        </w:tc>
        <w:tc>
          <w:tcPr>
            <w:tcW w:type="dxa" w:w="15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Bottom 25% Threshold</w:t>
            </w:r>
          </w:p>
        </w:tc>
      </w:tr>
      <w:tr>
        <w:tc>
          <w:tcPr>
            <w:tcW w:type="dxa" w:w="30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Revenue 3Y CAGR</w:t>
            </w:r>
          </w:p>
        </w:tc>
        <w:tc>
          <w:tcPr>
            <w:tcW w:type="dxa" w:w="20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6–8%</w:t>
            </w:r>
          </w:p>
        </w:tc>
        <w:tc>
          <w:tcPr>
            <w:tcW w:type="dxa" w:w="25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&gt; 12%</w:t>
            </w:r>
          </w:p>
        </w:tc>
        <w:tc>
          <w:tcPr>
            <w:tcW w:type="dxa" w:w="15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&lt; 2%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Net Margin</w:t>
            </w:r>
          </w:p>
        </w:tc>
        <w:tc>
          <w:tcPr>
            <w:tcW w:type="dxa" w:w="20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12–15%</w:t>
            </w:r>
          </w:p>
        </w:tc>
        <w:tc>
          <w:tcPr>
            <w:tcW w:type="dxa" w:w="25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&gt; 22%</w:t>
            </w:r>
          </w:p>
        </w:tc>
        <w:tc>
          <w:tcPr>
            <w:tcW w:type="dxa" w:w="15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&lt; 5%</w:t>
            </w:r>
          </w:p>
        </w:tc>
      </w:tr>
      <w:tr>
        <w:tc>
          <w:tcPr>
            <w:tcW w:type="dxa" w:w="30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ROE</w:t>
            </w:r>
          </w:p>
        </w:tc>
        <w:tc>
          <w:tcPr>
            <w:tcW w:type="dxa" w:w="20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16–20%</w:t>
            </w:r>
          </w:p>
        </w:tc>
        <w:tc>
          <w:tcPr>
            <w:tcW w:type="dxa" w:w="25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&gt; 28%</w:t>
            </w:r>
          </w:p>
        </w:tc>
        <w:tc>
          <w:tcPr>
            <w:tcW w:type="dxa" w:w="15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&lt; 8%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Free Cash Flow Margin</w:t>
            </w:r>
          </w:p>
        </w:tc>
        <w:tc>
          <w:tcPr>
            <w:tcW w:type="dxa" w:w="20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8–12%</w:t>
            </w:r>
          </w:p>
        </w:tc>
        <w:tc>
          <w:tcPr>
            <w:tcW w:type="dxa" w:w="25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&gt; 18%</w:t>
            </w:r>
          </w:p>
        </w:tc>
        <w:tc>
          <w:tcPr>
            <w:tcW w:type="dxa" w:w="15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&lt; 2%</w:t>
            </w:r>
          </w:p>
        </w:tc>
      </w:tr>
      <w:tr>
        <w:tc>
          <w:tcPr>
            <w:tcW w:type="dxa" w:w="30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Debt/Equity</w:t>
            </w:r>
          </w:p>
        </w:tc>
        <w:tc>
          <w:tcPr>
            <w:tcW w:type="dxa" w:w="20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0.6–1.2x</w:t>
            </w:r>
          </w:p>
        </w:tc>
        <w:tc>
          <w:tcPr>
            <w:tcW w:type="dxa" w:w="25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&lt; 0.4x</w:t>
            </w:r>
          </w:p>
        </w:tc>
        <w:tc>
          <w:tcPr>
            <w:tcW w:type="dxa" w:w="15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&gt; 2.0x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Interest Coverage</w:t>
            </w:r>
          </w:p>
        </w:tc>
        <w:tc>
          <w:tcPr>
            <w:tcW w:type="dxa" w:w="20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4–6x</w:t>
            </w:r>
          </w:p>
        </w:tc>
        <w:tc>
          <w:tcPr>
            <w:tcW w:type="dxa" w:w="25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&gt; 8x</w:t>
            </w:r>
          </w:p>
        </w:tc>
        <w:tc>
          <w:tcPr>
            <w:tcW w:type="dxa" w:w="15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&lt; 2x</w:t>
            </w:r>
          </w:p>
        </w:tc>
      </w:tr>
      <w:tr>
        <w:tc>
          <w:tcPr>
            <w:tcW w:type="dxa" w:w="30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P/E Ratio</w:t>
            </w:r>
          </w:p>
        </w:tc>
        <w:tc>
          <w:tcPr>
            <w:tcW w:type="dxa" w:w="20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8–12x</w:t>
            </w:r>
          </w:p>
        </w:tc>
        <w:tc>
          <w:tcPr>
            <w:tcW w:type="dxa" w:w="25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&lt; 7x (cheap)</w:t>
            </w:r>
          </w:p>
        </w:tc>
        <w:tc>
          <w:tcPr>
            <w:tcW w:type="dxa" w:w="15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&gt; 18x (expensive)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Dividend Yield</w:t>
            </w:r>
          </w:p>
        </w:tc>
        <w:tc>
          <w:tcPr>
            <w:tcW w:type="dxa" w:w="20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4–6%</w:t>
            </w:r>
          </w:p>
        </w:tc>
        <w:tc>
          <w:tcPr>
            <w:tcW w:type="dxa" w:w="25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&gt; 7%</w:t>
            </w:r>
          </w:p>
        </w:tc>
        <w:tc>
          <w:tcPr>
            <w:tcW w:type="dxa" w:w="15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&lt; 2%</w:t>
            </w:r>
          </w:p>
        </w:tc>
      </w:tr>
      <w:tr>
        <w:tc>
          <w:tcPr>
            <w:tcW w:type="dxa" w:w="30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ROIC</w:t>
            </w:r>
          </w:p>
        </w:tc>
        <w:tc>
          <w:tcPr>
            <w:tcW w:type="dxa" w:w="20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14–18%</w:t>
            </w:r>
          </w:p>
        </w:tc>
        <w:tc>
          <w:tcPr>
            <w:tcW w:type="dxa" w:w="25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&gt; 22%</w:t>
            </w:r>
          </w:p>
        </w:tc>
        <w:tc>
          <w:tcPr>
            <w:tcW w:type="dxa" w:w="15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&lt; 8%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FCF Conversion (FCF/NI)</w:t>
            </w:r>
          </w:p>
        </w:tc>
        <w:tc>
          <w:tcPr>
            <w:tcW w:type="dxa" w:w="20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0.8–1.1x</w:t>
            </w:r>
          </w:p>
        </w:tc>
        <w:tc>
          <w:tcPr>
            <w:tcW w:type="dxa" w:w="25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&gt; 1.2x</w:t>
            </w:r>
          </w:p>
        </w:tc>
        <w:tc>
          <w:tcPr>
            <w:tcW w:type="dxa" w:w="15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&lt; 0.5x</w:t>
            </w:r>
          </w:p>
        </w:tc>
      </w:tr>
    </w:tbl>
    <w:p>
      <w:r>
        <w:br w:type="page"/>
      </w:r>
    </w:p>
    <w:p>
      <w:pPr>
        <w:pBdr>
          <w:bottom w:val="single" w:color="2E86AB" w:sz="10"/>
        </w:pBdr>
        <w:spacing w:after="200" w:before="460"/>
      </w:pPr>
      <w:r>
        <w:rPr>
          <w:rFonts w:ascii="Calibri" w:cs="Calibri" w:eastAsia="Calibri" w:hAnsi="Calibri"/>
          <w:b/>
          <w:bCs/>
          <w:color w:val="1E3A5F"/>
          <w:sz w:val="40"/>
          <w:szCs w:val="40"/>
        </w:rPr>
        <w:t xml:space="preserve">Section 4 — 7 Investment Strategy Presets</w:t>
      </w:r>
    </w:p>
    <w:p>
      <w:pPr>
        <w:spacing w:after="65" w:before="6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Each strategy preset assigns different weights to the 10 scoring categories. All weights in a preset must sum to exactly 100%.</w:t>
      </w:r>
    </w:p>
    <w:p>
      <w:pPr>
        <w:spacing w:after="80" w:before="80"/>
      </w:pPr>
      <w:r>
        <w:t xml:space="preserve"/>
      </w:r>
    </w:p>
    <w:p>
      <w:pPr>
        <w:spacing w:after="140" w:before="300"/>
      </w:pPr>
      <w:r>
        <w:rPr>
          <w:rFonts w:ascii="Calibri" w:cs="Calibri" w:eastAsia="Calibri" w:hAnsi="Calibri"/>
          <w:b/>
          <w:bCs/>
          <w:color w:val="2E86AB"/>
          <w:sz w:val="30"/>
          <w:szCs w:val="30"/>
        </w:rPr>
        <w:t xml:space="preserve">4.1 Weight Distribution Table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1000"/>
        <w:gridCol w:w="1000"/>
        <w:gridCol w:w="1100"/>
        <w:gridCol w:w="1000"/>
        <w:gridCol w:w="1100"/>
        <w:gridCol w:w="1800"/>
      </w:tblGrid>
      <w:tr>
        <w:tc>
          <w:tcPr>
            <w:tcW w:type="dxa" w:w="2000"/>
            <w:shd w:fill="0D9488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1000"/>
            <w:shd w:fill="0D9488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1000"/>
            <w:shd w:fill="0D9488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Growth</w:t>
            </w:r>
          </w:p>
        </w:tc>
        <w:tc>
          <w:tcPr>
            <w:tcW w:type="dxa" w:w="1000"/>
            <w:shd w:fill="0D9488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Quality</w:t>
            </w:r>
          </w:p>
        </w:tc>
        <w:tc>
          <w:tcPr>
            <w:tcW w:type="dxa" w:w="1100"/>
            <w:shd w:fill="0D9488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Dividend</w:t>
            </w:r>
          </w:p>
        </w:tc>
        <w:tc>
          <w:tcPr>
            <w:tcW w:type="dxa" w:w="1000"/>
            <w:shd w:fill="0D9488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GARP</w:t>
            </w:r>
          </w:p>
        </w:tc>
        <w:tc>
          <w:tcPr>
            <w:tcW w:type="dxa" w:w="1100"/>
            <w:shd w:fill="0D9488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Conservative</w:t>
            </w:r>
          </w:p>
        </w:tc>
        <w:tc>
          <w:tcPr>
            <w:tcW w:type="dxa" w:w="1800"/>
            <w:shd w:fill="0D9488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Custom</w:t>
            </w:r>
          </w:p>
        </w:tc>
      </w:tr>
      <w:tr>
        <w:tc>
          <w:tcPr>
            <w:tcW w:type="dxa" w:w="20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Business Quality</w:t>
            </w:r>
          </w:p>
        </w:tc>
        <w:tc>
          <w:tcPr>
            <w:tcW w:type="dxa" w:w="10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8%</w:t>
            </w:r>
          </w:p>
        </w:tc>
        <w:tc>
          <w:tcPr>
            <w:tcW w:type="dxa" w:w="10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12%</w:t>
            </w:r>
          </w:p>
        </w:tc>
        <w:tc>
          <w:tcPr>
            <w:tcW w:type="dxa" w:w="10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22%</w:t>
            </w:r>
          </w:p>
        </w:tc>
        <w:tc>
          <w:tcPr>
            <w:tcW w:type="dxa" w:w="11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10%</w:t>
            </w:r>
          </w:p>
        </w:tc>
        <w:tc>
          <w:tcPr>
            <w:tcW w:type="dxa" w:w="10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15%</w:t>
            </w:r>
          </w:p>
        </w:tc>
        <w:tc>
          <w:tcPr>
            <w:tcW w:type="dxa" w:w="11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15%</w:t>
            </w:r>
          </w:p>
        </w:tc>
        <w:tc>
          <w:tcPr>
            <w:tcW w:type="dxa" w:w="18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User set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Revenue Growth</w:t>
            </w:r>
          </w:p>
        </w:tc>
        <w:tc>
          <w:tcPr>
            <w:tcW w:type="dxa" w:w="10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8%</w:t>
            </w:r>
          </w:p>
        </w:tc>
        <w:tc>
          <w:tcPr>
            <w:tcW w:type="dxa" w:w="10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25%</w:t>
            </w:r>
          </w:p>
        </w:tc>
        <w:tc>
          <w:tcPr>
            <w:tcW w:type="dxa" w:w="10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15%</w:t>
            </w:r>
          </w:p>
        </w:tc>
        <w:tc>
          <w:tcPr>
            <w:tcW w:type="dxa" w:w="11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5%</w:t>
            </w:r>
          </w:p>
        </w:tc>
        <w:tc>
          <w:tcPr>
            <w:tcW w:type="dxa" w:w="10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20%</w:t>
            </w:r>
          </w:p>
        </w:tc>
        <w:tc>
          <w:tcPr>
            <w:tcW w:type="dxa" w:w="11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8%</w:t>
            </w:r>
          </w:p>
        </w:tc>
        <w:tc>
          <w:tcPr>
            <w:tcW w:type="dxa" w:w="18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User set</w:t>
            </w:r>
          </w:p>
        </w:tc>
      </w:tr>
      <w:tr>
        <w:tc>
          <w:tcPr>
            <w:tcW w:type="dxa" w:w="20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Profitability</w:t>
            </w:r>
          </w:p>
        </w:tc>
        <w:tc>
          <w:tcPr>
            <w:tcW w:type="dxa" w:w="10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10%</w:t>
            </w:r>
          </w:p>
        </w:tc>
        <w:tc>
          <w:tcPr>
            <w:tcW w:type="dxa" w:w="10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12%</w:t>
            </w:r>
          </w:p>
        </w:tc>
        <w:tc>
          <w:tcPr>
            <w:tcW w:type="dxa" w:w="10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18%</w:t>
            </w:r>
          </w:p>
        </w:tc>
        <w:tc>
          <w:tcPr>
            <w:tcW w:type="dxa" w:w="11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8%</w:t>
            </w:r>
          </w:p>
        </w:tc>
        <w:tc>
          <w:tcPr>
            <w:tcW w:type="dxa" w:w="10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12%</w:t>
            </w:r>
          </w:p>
        </w:tc>
        <w:tc>
          <w:tcPr>
            <w:tcW w:type="dxa" w:w="11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12%</w:t>
            </w:r>
          </w:p>
        </w:tc>
        <w:tc>
          <w:tcPr>
            <w:tcW w:type="dxa" w:w="18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User set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Cash Flow</w:t>
            </w:r>
          </w:p>
        </w:tc>
        <w:tc>
          <w:tcPr>
            <w:tcW w:type="dxa" w:w="10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10%</w:t>
            </w:r>
          </w:p>
        </w:tc>
        <w:tc>
          <w:tcPr>
            <w:tcW w:type="dxa" w:w="10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15%</w:t>
            </w:r>
          </w:p>
        </w:tc>
        <w:tc>
          <w:tcPr>
            <w:tcW w:type="dxa" w:w="10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15%</w:t>
            </w:r>
          </w:p>
        </w:tc>
        <w:tc>
          <w:tcPr>
            <w:tcW w:type="dxa" w:w="11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10%</w:t>
            </w:r>
          </w:p>
        </w:tc>
        <w:tc>
          <w:tcPr>
            <w:tcW w:type="dxa" w:w="10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12%</w:t>
            </w:r>
          </w:p>
        </w:tc>
        <w:tc>
          <w:tcPr>
            <w:tcW w:type="dxa" w:w="11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15%</w:t>
            </w:r>
          </w:p>
        </w:tc>
        <w:tc>
          <w:tcPr>
            <w:tcW w:type="dxa" w:w="18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User set</w:t>
            </w:r>
          </w:p>
        </w:tc>
      </w:tr>
      <w:tr>
        <w:tc>
          <w:tcPr>
            <w:tcW w:type="dxa" w:w="20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Balance Sheet</w:t>
            </w:r>
          </w:p>
        </w:tc>
        <w:tc>
          <w:tcPr>
            <w:tcW w:type="dxa" w:w="10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15%</w:t>
            </w:r>
          </w:p>
        </w:tc>
        <w:tc>
          <w:tcPr>
            <w:tcW w:type="dxa" w:w="10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8%</w:t>
            </w:r>
          </w:p>
        </w:tc>
        <w:tc>
          <w:tcPr>
            <w:tcW w:type="dxa" w:w="10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10%</w:t>
            </w:r>
          </w:p>
        </w:tc>
        <w:tc>
          <w:tcPr>
            <w:tcW w:type="dxa" w:w="11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15%</w:t>
            </w:r>
          </w:p>
        </w:tc>
        <w:tc>
          <w:tcPr>
            <w:tcW w:type="dxa" w:w="10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8%</w:t>
            </w:r>
          </w:p>
        </w:tc>
        <w:tc>
          <w:tcPr>
            <w:tcW w:type="dxa" w:w="11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20%</w:t>
            </w:r>
          </w:p>
        </w:tc>
        <w:tc>
          <w:tcPr>
            <w:tcW w:type="dxa" w:w="18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User set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Capital Efficiency</w:t>
            </w:r>
          </w:p>
        </w:tc>
        <w:tc>
          <w:tcPr>
            <w:tcW w:type="dxa" w:w="10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8%</w:t>
            </w:r>
          </w:p>
        </w:tc>
        <w:tc>
          <w:tcPr>
            <w:tcW w:type="dxa" w:w="10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10%</w:t>
            </w:r>
          </w:p>
        </w:tc>
        <w:tc>
          <w:tcPr>
            <w:tcW w:type="dxa" w:w="10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15%</w:t>
            </w:r>
          </w:p>
        </w:tc>
        <w:tc>
          <w:tcPr>
            <w:tcW w:type="dxa" w:w="11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5%</w:t>
            </w:r>
          </w:p>
        </w:tc>
        <w:tc>
          <w:tcPr>
            <w:tcW w:type="dxa" w:w="10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10%</w:t>
            </w:r>
          </w:p>
        </w:tc>
        <w:tc>
          <w:tcPr>
            <w:tcW w:type="dxa" w:w="11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8%</w:t>
            </w:r>
          </w:p>
        </w:tc>
        <w:tc>
          <w:tcPr>
            <w:tcW w:type="dxa" w:w="18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User set</w:t>
            </w:r>
          </w:p>
        </w:tc>
      </w:tr>
      <w:tr>
        <w:tc>
          <w:tcPr>
            <w:tcW w:type="dxa" w:w="20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Valuation</w:t>
            </w:r>
          </w:p>
        </w:tc>
        <w:tc>
          <w:tcPr>
            <w:tcW w:type="dxa" w:w="10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25%</w:t>
            </w:r>
          </w:p>
        </w:tc>
        <w:tc>
          <w:tcPr>
            <w:tcW w:type="dxa" w:w="10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8%</w:t>
            </w:r>
          </w:p>
        </w:tc>
        <w:tc>
          <w:tcPr>
            <w:tcW w:type="dxa" w:w="10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5%</w:t>
            </w:r>
          </w:p>
        </w:tc>
        <w:tc>
          <w:tcPr>
            <w:tcW w:type="dxa" w:w="11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8%</w:t>
            </w:r>
          </w:p>
        </w:tc>
        <w:tc>
          <w:tcPr>
            <w:tcW w:type="dxa" w:w="10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13%</w:t>
            </w:r>
          </w:p>
        </w:tc>
        <w:tc>
          <w:tcPr>
            <w:tcW w:type="dxa" w:w="11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8%</w:t>
            </w:r>
          </w:p>
        </w:tc>
        <w:tc>
          <w:tcPr>
            <w:tcW w:type="dxa" w:w="18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User set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Dividend</w:t>
            </w:r>
          </w:p>
        </w:tc>
        <w:tc>
          <w:tcPr>
            <w:tcW w:type="dxa" w:w="10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5%</w:t>
            </w:r>
          </w:p>
        </w:tc>
        <w:tc>
          <w:tcPr>
            <w:tcW w:type="dxa" w:w="10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3%</w:t>
            </w:r>
          </w:p>
        </w:tc>
        <w:tc>
          <w:tcPr>
            <w:tcW w:type="dxa" w:w="10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3%</w:t>
            </w:r>
          </w:p>
        </w:tc>
        <w:tc>
          <w:tcPr>
            <w:tcW w:type="dxa" w:w="11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28%</w:t>
            </w:r>
          </w:p>
        </w:tc>
        <w:tc>
          <w:tcPr>
            <w:tcW w:type="dxa" w:w="10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3%</w:t>
            </w:r>
          </w:p>
        </w:tc>
        <w:tc>
          <w:tcPr>
            <w:tcW w:type="dxa" w:w="11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5%</w:t>
            </w:r>
          </w:p>
        </w:tc>
        <w:tc>
          <w:tcPr>
            <w:tcW w:type="dxa" w:w="18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User set</w:t>
            </w:r>
          </w:p>
        </w:tc>
      </w:tr>
      <w:tr>
        <w:tc>
          <w:tcPr>
            <w:tcW w:type="dxa" w:w="20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Management Quality</w:t>
            </w:r>
          </w:p>
        </w:tc>
        <w:tc>
          <w:tcPr>
            <w:tcW w:type="dxa" w:w="10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6%</w:t>
            </w:r>
          </w:p>
        </w:tc>
        <w:tc>
          <w:tcPr>
            <w:tcW w:type="dxa" w:w="10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4%</w:t>
            </w:r>
          </w:p>
        </w:tc>
        <w:tc>
          <w:tcPr>
            <w:tcW w:type="dxa" w:w="10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5%</w:t>
            </w:r>
          </w:p>
        </w:tc>
        <w:tc>
          <w:tcPr>
            <w:tcW w:type="dxa" w:w="11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6%</w:t>
            </w:r>
          </w:p>
        </w:tc>
        <w:tc>
          <w:tcPr>
            <w:tcW w:type="dxa" w:w="10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4%</w:t>
            </w:r>
          </w:p>
        </w:tc>
        <w:tc>
          <w:tcPr>
            <w:tcW w:type="dxa" w:w="11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6%</w:t>
            </w:r>
          </w:p>
        </w:tc>
        <w:tc>
          <w:tcPr>
            <w:tcW w:type="dxa" w:w="18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User set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Risk Score</w:t>
            </w:r>
          </w:p>
        </w:tc>
        <w:tc>
          <w:tcPr>
            <w:tcW w:type="dxa" w:w="10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5%</w:t>
            </w:r>
          </w:p>
        </w:tc>
        <w:tc>
          <w:tcPr>
            <w:tcW w:type="dxa" w:w="10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3%</w:t>
            </w:r>
          </w:p>
        </w:tc>
        <w:tc>
          <w:tcPr>
            <w:tcW w:type="dxa" w:w="10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2%</w:t>
            </w:r>
          </w:p>
        </w:tc>
        <w:tc>
          <w:tcPr>
            <w:tcW w:type="dxa" w:w="11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5%</w:t>
            </w:r>
          </w:p>
        </w:tc>
        <w:tc>
          <w:tcPr>
            <w:tcW w:type="dxa" w:w="10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3%</w:t>
            </w:r>
          </w:p>
        </w:tc>
        <w:tc>
          <w:tcPr>
            <w:tcW w:type="dxa" w:w="11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13%</w:t>
            </w:r>
          </w:p>
        </w:tc>
        <w:tc>
          <w:tcPr>
            <w:tcW w:type="dxa" w:w="18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User set</w:t>
            </w:r>
          </w:p>
        </w:tc>
      </w:tr>
      <w:tr>
        <w:tc>
          <w:tcPr>
            <w:tcW w:type="dxa" w:w="20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TOTAL</w:t>
            </w:r>
          </w:p>
        </w:tc>
        <w:tc>
          <w:tcPr>
            <w:tcW w:type="dxa" w:w="10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100%</w:t>
            </w:r>
          </w:p>
        </w:tc>
        <w:tc>
          <w:tcPr>
            <w:tcW w:type="dxa" w:w="10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100%</w:t>
            </w:r>
          </w:p>
        </w:tc>
        <w:tc>
          <w:tcPr>
            <w:tcW w:type="dxa" w:w="10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100%</w:t>
            </w:r>
          </w:p>
        </w:tc>
        <w:tc>
          <w:tcPr>
            <w:tcW w:type="dxa" w:w="11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100%</w:t>
            </w:r>
          </w:p>
        </w:tc>
        <w:tc>
          <w:tcPr>
            <w:tcW w:type="dxa" w:w="10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100%</w:t>
            </w:r>
          </w:p>
        </w:tc>
        <w:tc>
          <w:tcPr>
            <w:tcW w:type="dxa" w:w="11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100%</w:t>
            </w:r>
          </w:p>
        </w:tc>
        <w:tc>
          <w:tcPr>
            <w:tcW w:type="dxa" w:w="18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100%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spacing w:after="140" w:before="300"/>
      </w:pPr>
      <w:r>
        <w:rPr>
          <w:rFonts w:ascii="Calibri" w:cs="Calibri" w:eastAsia="Calibri" w:hAnsi="Calibri"/>
          <w:b/>
          <w:bCs/>
          <w:color w:val="2E86AB"/>
          <w:sz w:val="30"/>
          <w:szCs w:val="30"/>
        </w:rPr>
        <w:t xml:space="preserve">4.2 Strategy Descriptions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3000"/>
        <w:gridCol w:w="2500"/>
      </w:tblGrid>
      <w:tr>
        <w:tc>
          <w:tcPr>
            <w:tcW w:type="dxa" w:w="15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Strategy</w:t>
            </w:r>
          </w:p>
        </w:tc>
        <w:tc>
          <w:tcPr>
            <w:tcW w:type="dxa" w:w="20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Best For</w:t>
            </w:r>
          </w:p>
        </w:tc>
        <w:tc>
          <w:tcPr>
            <w:tcW w:type="dxa" w:w="30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Prioritizes</w:t>
            </w:r>
          </w:p>
        </w:tc>
        <w:tc>
          <w:tcPr>
            <w:tcW w:type="dxa" w:w="25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PSX Stock Examples</w:t>
            </w:r>
          </w:p>
        </w:tc>
      </w:tr>
      <w:tr>
        <w:tc>
          <w:tcPr>
            <w:tcW w:type="dxa" w:w="15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Value</w:t>
            </w:r>
          </w:p>
        </w:tc>
        <w:tc>
          <w:tcPr>
            <w:tcW w:type="dxa" w:w="20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Long-term patient investors</w:t>
            </w:r>
          </w:p>
        </w:tc>
        <w:tc>
          <w:tcPr>
            <w:tcW w:type="dxa" w:w="30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Cheap valuation vs sector/history, strong balance sheet</w:t>
            </w:r>
          </w:p>
        </w:tc>
        <w:tc>
          <w:tcPr>
            <w:tcW w:type="dxa" w:w="25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OGDC, MCB, HBL</w:t>
            </w:r>
          </w:p>
        </w:tc>
      </w:tr>
      <w:tr>
        <w:tc>
          <w:tcPr>
            <w:tcW w:type="dxa" w:w="15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Growth</w:t>
            </w:r>
          </w:p>
        </w:tc>
        <w:tc>
          <w:tcPr>
            <w:tcW w:type="dxa" w:w="20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Aggressive investors, younger investors</w:t>
            </w:r>
          </w:p>
        </w:tc>
        <w:tc>
          <w:tcPr>
            <w:tcW w:type="dxa" w:w="30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Revenue &amp; FCF growth rate above sector</w:t>
            </w:r>
          </w:p>
        </w:tc>
        <w:tc>
          <w:tcPr>
            <w:tcW w:type="dxa" w:w="25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TRG, SYS, NESTLE</w:t>
            </w:r>
          </w:p>
        </w:tc>
      </w:tr>
      <w:tr>
        <w:tc>
          <w:tcPr>
            <w:tcW w:type="dxa" w:w="15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Quality</w:t>
            </w:r>
          </w:p>
        </w:tc>
        <w:tc>
          <w:tcPr>
            <w:tcW w:type="dxa" w:w="20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Conservative long-term holders</w:t>
            </w:r>
          </w:p>
        </w:tc>
        <w:tc>
          <w:tcPr>
            <w:tcW w:type="dxa" w:w="30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Business consistency, high ROE/ROIC, earnings stability</w:t>
            </w:r>
          </w:p>
        </w:tc>
        <w:tc>
          <w:tcPr>
            <w:tcW w:type="dxa" w:w="25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ENGRO, ICI, LUCK</w:t>
            </w:r>
          </w:p>
        </w:tc>
      </w:tr>
      <w:tr>
        <w:tc>
          <w:tcPr>
            <w:tcW w:type="dxa" w:w="15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Dividend</w:t>
            </w:r>
          </w:p>
        </w:tc>
        <w:tc>
          <w:tcPr>
            <w:tcW w:type="dxa" w:w="20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Income seekers, retirees</w:t>
            </w:r>
          </w:p>
        </w:tc>
        <w:tc>
          <w:tcPr>
            <w:tcW w:type="dxa" w:w="30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High yield, sustainable payout, dividend history</w:t>
            </w:r>
          </w:p>
        </w:tc>
        <w:tc>
          <w:tcPr>
            <w:tcW w:type="dxa" w:w="25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HUBC, FFC, PSO</w:t>
            </w:r>
          </w:p>
        </w:tc>
      </w:tr>
      <w:tr>
        <w:tc>
          <w:tcPr>
            <w:tcW w:type="dxa" w:w="15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GARP</w:t>
            </w:r>
          </w:p>
        </w:tc>
        <w:tc>
          <w:tcPr>
            <w:tcW w:type="dxa" w:w="20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Balanced investors</w:t>
            </w:r>
          </w:p>
        </w:tc>
        <w:tc>
          <w:tcPr>
            <w:tcW w:type="dxa" w:w="30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Growth at a reasonable price — balance of growth &amp; value</w:t>
            </w:r>
          </w:p>
        </w:tc>
        <w:tc>
          <w:tcPr>
            <w:tcW w:type="dxa" w:w="25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MEBL, FATIMA, NML</w:t>
            </w:r>
          </w:p>
        </w:tc>
      </w:tr>
      <w:tr>
        <w:tc>
          <w:tcPr>
            <w:tcW w:type="dxa" w:w="15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Conservative</w:t>
            </w:r>
          </w:p>
        </w:tc>
        <w:tc>
          <w:tcPr>
            <w:tcW w:type="dxa" w:w="20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Risk-averse investors</w:t>
            </w:r>
          </w:p>
        </w:tc>
        <w:tc>
          <w:tcPr>
            <w:tcW w:type="dxa" w:w="30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Low debt, low volatility, stable earnings</w:t>
            </w:r>
          </w:p>
        </w:tc>
        <w:tc>
          <w:tcPr>
            <w:tcW w:type="dxa" w:w="25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MCB, NESTLE, COLG</w:t>
            </w:r>
          </w:p>
        </w:tc>
      </w:tr>
      <w:tr>
        <w:tc>
          <w:tcPr>
            <w:tcW w:type="dxa" w:w="15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Custom</w:t>
            </w:r>
          </w:p>
        </w:tc>
        <w:tc>
          <w:tcPr>
            <w:tcW w:type="dxa" w:w="20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Advanced users</w:t>
            </w:r>
          </w:p>
        </w:tc>
        <w:tc>
          <w:tcPr>
            <w:tcW w:type="dxa" w:w="30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User defines all 10 weights via sliders</w:t>
            </w:r>
          </w:p>
        </w:tc>
        <w:tc>
          <w:tcPr>
            <w:tcW w:type="dxa" w:w="25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Any stock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spacing w:after="140" w:before="300"/>
      </w:pPr>
      <w:r>
        <w:rPr>
          <w:rFonts w:ascii="Calibri" w:cs="Calibri" w:eastAsia="Calibri" w:hAnsi="Calibri"/>
          <w:b/>
          <w:bCs/>
          <w:color w:val="2E86AB"/>
          <w:sz w:val="30"/>
          <w:szCs w:val="30"/>
        </w:rPr>
        <w:t xml:space="preserve">4.3 Custom Strategy Rules</w:t>
      </w:r>
    </w:p>
    <w:p>
      <w:pPr>
        <w:spacing w:after="50" w:before="50"/>
        <w:ind w:left="400"/>
      </w:pPr>
      <w:r>
        <w:rPr>
          <w:rFonts w:ascii="Calibri" w:cs="Calibri" w:eastAsia="Calibri" w:hAnsi="Calibri"/>
          <w:b w:val="false"/>
          <w:bCs w:val="false"/>
          <w:color w:val="111827"/>
          <w:sz w:val="21"/>
          <w:szCs w:val="21"/>
        </w:rPr>
        <w:t xml:space="preserve">• User sets weights via 10 individual sliders (0–40% per category)</w:t>
      </w:r>
    </w:p>
    <w:p>
      <w:pPr>
        <w:spacing w:after="50" w:before="50"/>
        <w:ind w:left="400"/>
      </w:pPr>
      <w:r>
        <w:rPr>
          <w:rFonts w:ascii="Calibri" w:cs="Calibri" w:eastAsia="Calibri" w:hAnsi="Calibri"/>
          <w:b w:val="false"/>
          <w:bCs w:val="false"/>
          <w:color w:val="111827"/>
          <w:sz w:val="21"/>
          <w:szCs w:val="21"/>
        </w:rPr>
        <w:t xml:space="preserve">• UI enforces: all 10 weights must sum to exactly 100%</w:t>
      </w:r>
    </w:p>
    <w:p>
      <w:pPr>
        <w:spacing w:after="50" w:before="50"/>
        <w:ind w:left="400"/>
      </w:pPr>
      <w:r>
        <w:rPr>
          <w:rFonts w:ascii="Calibri" w:cs="Calibri" w:eastAsia="Calibri" w:hAnsi="Calibri"/>
          <w:b w:val="false"/>
          <w:bCs w:val="false"/>
          <w:color w:val="111827"/>
          <w:sz w:val="21"/>
          <w:szCs w:val="21"/>
        </w:rPr>
        <w:t xml:space="preserve">• If sum ≠ 100%, show error: 'Weights must total 100%. Currently at X%'</w:t>
      </w:r>
    </w:p>
    <w:p>
      <w:pPr>
        <w:spacing w:after="50" w:before="50"/>
        <w:ind w:left="400"/>
      </w:pPr>
      <w:r>
        <w:rPr>
          <w:rFonts w:ascii="Calibri" w:cs="Calibri" w:eastAsia="Calibri" w:hAnsi="Calibri"/>
          <w:b w:val="false"/>
          <w:bCs w:val="false"/>
          <w:color w:val="111827"/>
          <w:sz w:val="21"/>
          <w:szCs w:val="21"/>
        </w:rPr>
        <w:t xml:space="preserve">• Minimum weight per category: 0%  |  Maximum: 40%</w:t>
      </w:r>
    </w:p>
    <w:p>
      <w:pPr>
        <w:spacing w:after="50" w:before="50"/>
        <w:ind w:left="400"/>
      </w:pPr>
      <w:r>
        <w:rPr>
          <w:rFonts w:ascii="Calibri" w:cs="Calibri" w:eastAsia="Calibri" w:hAnsi="Calibri"/>
          <w:b w:val="false"/>
          <w:bCs w:val="false"/>
          <w:color w:val="111827"/>
          <w:sz w:val="21"/>
          <w:szCs w:val="21"/>
        </w:rPr>
        <w:t xml:space="preserve">• User can name and save their custom strategy</w:t>
      </w:r>
    </w:p>
    <w:p>
      <w:pPr>
        <w:spacing w:after="50" w:before="50"/>
        <w:ind w:left="400"/>
      </w:pPr>
      <w:r>
        <w:rPr>
          <w:rFonts w:ascii="Calibri" w:cs="Calibri" w:eastAsia="Calibri" w:hAnsi="Calibri"/>
          <w:b w:val="false"/>
          <w:bCs w:val="false"/>
          <w:color w:val="111827"/>
          <w:sz w:val="21"/>
          <w:szCs w:val="21"/>
        </w:rPr>
        <w:t xml:space="preserve">• Custom strategy saved to user profile — persists across sessions</w:t>
      </w:r>
    </w:p>
    <w:p>
      <w:r>
        <w:br w:type="page"/>
      </w:r>
    </w:p>
    <w:p>
      <w:pPr>
        <w:pBdr>
          <w:bottom w:val="single" w:color="2E86AB" w:sz="10"/>
        </w:pBdr>
        <w:spacing w:after="200" w:before="460"/>
      </w:pPr>
      <w:r>
        <w:rPr>
          <w:rFonts w:ascii="Calibri" w:cs="Calibri" w:eastAsia="Calibri" w:hAnsi="Calibri"/>
          <w:b/>
          <w:bCs/>
          <w:color w:val="1E3A5F"/>
          <w:sz w:val="40"/>
          <w:szCs w:val="40"/>
        </w:rPr>
        <w:t xml:space="preserve">Section 5 — Verdict Labels &amp; Score Bands</w:t>
      </w:r>
    </w:p>
    <w:p>
      <w:pPr>
        <w:spacing w:after="80" w:before="80"/>
      </w:pPr>
      <w:r>
        <w:t xml:space="preserve"/>
      </w:r>
    </w:p>
    <w:p>
      <w:pPr>
        <w:spacing w:after="140" w:before="300"/>
      </w:pPr>
      <w:r>
        <w:rPr>
          <w:rFonts w:ascii="Calibri" w:cs="Calibri" w:eastAsia="Calibri" w:hAnsi="Calibri"/>
          <w:b/>
          <w:bCs/>
          <w:color w:val="2E86AB"/>
          <w:sz w:val="30"/>
          <w:szCs w:val="30"/>
        </w:rPr>
        <w:t xml:space="preserve">5.1 Strategy Fit Score Bands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1500"/>
        <w:gridCol w:w="3500"/>
      </w:tblGrid>
      <w:tr>
        <w:tc>
          <w:tcPr>
            <w:tcW w:type="dxa" w:w="15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Score Range</w:t>
            </w:r>
          </w:p>
        </w:tc>
        <w:tc>
          <w:tcPr>
            <w:tcW w:type="dxa" w:w="25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Verdict Label</w:t>
            </w:r>
          </w:p>
        </w:tc>
        <w:tc>
          <w:tcPr>
            <w:tcW w:type="dxa" w:w="15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Color</w:t>
            </w:r>
          </w:p>
        </w:tc>
        <w:tc>
          <w:tcPr>
            <w:tcW w:type="dxa" w:w="35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15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85–100</w:t>
            </w:r>
          </w:p>
        </w:tc>
        <w:tc>
          <w:tcPr>
            <w:tcW w:type="dxa" w:w="25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STRONG FIT</w:t>
            </w:r>
          </w:p>
        </w:tc>
        <w:tc>
          <w:tcPr>
            <w:tcW w:type="dxa" w:w="15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Green (#059669)</w:t>
            </w:r>
          </w:p>
        </w:tc>
        <w:tc>
          <w:tcPr>
            <w:tcW w:type="dxa" w:w="35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Excellent match for this strategy — all key metrics align</w:t>
            </w:r>
          </w:p>
        </w:tc>
      </w:tr>
      <w:tr>
        <w:tc>
          <w:tcPr>
            <w:tcW w:type="dxa" w:w="15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70–84</w:t>
            </w:r>
          </w:p>
        </w:tc>
        <w:tc>
          <w:tcPr>
            <w:tcW w:type="dxa" w:w="25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GOOD FIT</w:t>
            </w:r>
          </w:p>
        </w:tc>
        <w:tc>
          <w:tcPr>
            <w:tcW w:type="dxa" w:w="15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Light Green (#16A34A)</w:t>
            </w:r>
          </w:p>
        </w:tc>
        <w:tc>
          <w:tcPr>
            <w:tcW w:type="dxa" w:w="35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Good match — most key metrics positive, minor weaknesses</w:t>
            </w:r>
          </w:p>
        </w:tc>
      </w:tr>
      <w:tr>
        <w:tc>
          <w:tcPr>
            <w:tcW w:type="dxa" w:w="15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55–69</w:t>
            </w:r>
          </w:p>
        </w:tc>
        <w:tc>
          <w:tcPr>
            <w:tcW w:type="dxa" w:w="25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MODERATE FIT</w:t>
            </w:r>
          </w:p>
        </w:tc>
        <w:tc>
          <w:tcPr>
            <w:tcW w:type="dxa" w:w="15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Orange (#D97706)</w:t>
            </w:r>
          </w:p>
        </w:tc>
        <w:tc>
          <w:tcPr>
            <w:tcW w:type="dxa" w:w="35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Partial match — mixed signals, needs closer review</w:t>
            </w:r>
          </w:p>
        </w:tc>
      </w:tr>
      <w:tr>
        <w:tc>
          <w:tcPr>
            <w:tcW w:type="dxa" w:w="15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40–54</w:t>
            </w:r>
          </w:p>
        </w:tc>
        <w:tc>
          <w:tcPr>
            <w:tcW w:type="dxa" w:w="25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WEAK FIT</w:t>
            </w:r>
          </w:p>
        </w:tc>
        <w:tc>
          <w:tcPr>
            <w:tcW w:type="dxa" w:w="15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Red-Orange (#EA580C)</w:t>
            </w:r>
          </w:p>
        </w:tc>
        <w:tc>
          <w:tcPr>
            <w:tcW w:type="dxa" w:w="35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Poor match — several key metrics below threshold</w:t>
            </w:r>
          </w:p>
        </w:tc>
      </w:tr>
      <w:tr>
        <w:tc>
          <w:tcPr>
            <w:tcW w:type="dxa" w:w="15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0–39</w:t>
            </w:r>
          </w:p>
        </w:tc>
        <w:tc>
          <w:tcPr>
            <w:tcW w:type="dxa" w:w="25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POOR FIT</w:t>
            </w:r>
          </w:p>
        </w:tc>
        <w:tc>
          <w:tcPr>
            <w:tcW w:type="dxa" w:w="15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Red (#DC2626)</w:t>
            </w:r>
          </w:p>
        </w:tc>
        <w:tc>
          <w:tcPr>
            <w:tcW w:type="dxa" w:w="35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Not suitable for this strategy — major red flags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spacing w:after="140" w:before="300"/>
      </w:pPr>
      <w:r>
        <w:rPr>
          <w:rFonts w:ascii="Calibri" w:cs="Calibri" w:eastAsia="Calibri" w:hAnsi="Calibri"/>
          <w:b/>
          <w:bCs/>
          <w:color w:val="2E86AB"/>
          <w:sz w:val="30"/>
          <w:szCs w:val="30"/>
        </w:rPr>
        <w:t xml:space="preserve">5.2 Category-Level Score Labels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c>
          <w:tcPr>
            <w:tcW w:type="dxa" w:w="20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Score Range</w:t>
            </w:r>
          </w:p>
        </w:tc>
        <w:tc>
          <w:tcPr>
            <w:tcW w:type="dxa" w:w="35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Label</w:t>
            </w:r>
          </w:p>
        </w:tc>
        <w:tc>
          <w:tcPr>
            <w:tcW w:type="dxa" w:w="35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Display Color</w:t>
            </w:r>
          </w:p>
        </w:tc>
      </w:tr>
      <w:tr>
        <w:tc>
          <w:tcPr>
            <w:tcW w:type="dxa" w:w="20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80–100</w:t>
            </w:r>
          </w:p>
        </w:tc>
        <w:tc>
          <w:tcPr>
            <w:tcW w:type="dxa" w:w="35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EXCELLENT — Top-tier performance in this category</w:t>
            </w:r>
          </w:p>
        </w:tc>
        <w:tc>
          <w:tcPr>
            <w:tcW w:type="dxa" w:w="35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Green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60–79</w:t>
            </w:r>
          </w:p>
        </w:tc>
        <w:tc>
          <w:tcPr>
            <w:tcW w:type="dxa" w:w="35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GOOD — Above average performance</w:t>
            </w:r>
          </w:p>
        </w:tc>
        <w:tc>
          <w:tcPr>
            <w:tcW w:type="dxa" w:w="35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Light Green</w:t>
            </w:r>
          </w:p>
        </w:tc>
      </w:tr>
      <w:tr>
        <w:tc>
          <w:tcPr>
            <w:tcW w:type="dxa" w:w="20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40–59</w:t>
            </w:r>
          </w:p>
        </w:tc>
        <w:tc>
          <w:tcPr>
            <w:tcW w:type="dxa" w:w="35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AVERAGE — In line with PSX sector median</w:t>
            </w:r>
          </w:p>
        </w:tc>
        <w:tc>
          <w:tcPr>
            <w:tcW w:type="dxa" w:w="35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Orange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20–39</w:t>
            </w:r>
          </w:p>
        </w:tc>
        <w:tc>
          <w:tcPr>
            <w:tcW w:type="dxa" w:w="35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BELOW AVERAGE — Underperforming sector peers</w:t>
            </w:r>
          </w:p>
        </w:tc>
        <w:tc>
          <w:tcPr>
            <w:tcW w:type="dxa" w:w="35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Red-Orange</w:t>
            </w:r>
          </w:p>
        </w:tc>
      </w:tr>
      <w:tr>
        <w:tc>
          <w:tcPr>
            <w:tcW w:type="dxa" w:w="20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0–19</w:t>
            </w:r>
          </w:p>
        </w:tc>
        <w:tc>
          <w:tcPr>
            <w:tcW w:type="dxa" w:w="35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WEAK — Significant underperformance</w:t>
            </w:r>
          </w:p>
        </w:tc>
        <w:tc>
          <w:tcPr>
            <w:tcW w:type="dxa" w:w="35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Red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spacing w:after="140" w:before="300"/>
      </w:pPr>
      <w:r>
        <w:rPr>
          <w:rFonts w:ascii="Calibri" w:cs="Calibri" w:eastAsia="Calibri" w:hAnsi="Calibri"/>
          <w:b/>
          <w:bCs/>
          <w:color w:val="2E86AB"/>
          <w:sz w:val="30"/>
          <w:szCs w:val="30"/>
        </w:rPr>
        <w:t xml:space="preserve">5.3 Individual Metric Flags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00"/>
      </w:tblGrid>
      <w:tr>
        <w:tc>
          <w:tcPr>
            <w:tcW w:type="dxa" w:w="20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Flag</w:t>
            </w:r>
          </w:p>
        </w:tc>
        <w:tc>
          <w:tcPr>
            <w:tcW w:type="dxa" w:w="40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Trigger Condition</w:t>
            </w:r>
          </w:p>
        </w:tc>
        <w:tc>
          <w:tcPr>
            <w:tcW w:type="dxa" w:w="30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Display</w:t>
            </w:r>
          </w:p>
        </w:tc>
      </w:tr>
      <w:tr>
        <w:tc>
          <w:tcPr>
            <w:tcW w:type="dxa" w:w="20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✓ STRENGTH</w:t>
            </w:r>
          </w:p>
        </w:tc>
        <w:tc>
          <w:tcPr>
            <w:tcW w:type="dxa" w:w="40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Metric scores 75+ in its sub-category</w:t>
            </w:r>
          </w:p>
        </w:tc>
        <w:tc>
          <w:tcPr>
            <w:tcW w:type="dxa" w:w="30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Green checkmark badge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⚠ WATCH</w:t>
            </w:r>
          </w:p>
        </w:tc>
        <w:tc>
          <w:tcPr>
            <w:tcW w:type="dxa" w:w="40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Metric scores 35–74</w:t>
            </w:r>
          </w:p>
        </w:tc>
        <w:tc>
          <w:tcPr>
            <w:tcW w:type="dxa" w:w="30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Orange warning badge</w:t>
            </w:r>
          </w:p>
        </w:tc>
      </w:tr>
      <w:tr>
        <w:tc>
          <w:tcPr>
            <w:tcW w:type="dxa" w:w="20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✗ CONCERN</w:t>
            </w:r>
          </w:p>
        </w:tc>
        <w:tc>
          <w:tcPr>
            <w:tcW w:type="dxa" w:w="40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Metric scores below 35</w:t>
            </w:r>
          </w:p>
        </w:tc>
        <w:tc>
          <w:tcPr>
            <w:tcW w:type="dxa" w:w="30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Red X badge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— NO DATA</w:t>
            </w:r>
          </w:p>
        </w:tc>
        <w:tc>
          <w:tcPr>
            <w:tcW w:type="dxa" w:w="40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Insufficient historical data for calculation</w:t>
            </w:r>
          </w:p>
        </w:tc>
        <w:tc>
          <w:tcPr>
            <w:tcW w:type="dxa" w:w="30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Gray dash — explain why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spacing w:after="140" w:before="300"/>
      </w:pPr>
      <w:r>
        <w:rPr>
          <w:rFonts w:ascii="Calibri" w:cs="Calibri" w:eastAsia="Calibri" w:hAnsi="Calibri"/>
          <w:b/>
          <w:bCs/>
          <w:color w:val="2E86AB"/>
          <w:sz w:val="30"/>
          <w:szCs w:val="30"/>
        </w:rPr>
        <w:t xml:space="preserve">5.4 Overall Platform Disclaimer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7ED" w:val="clear"/>
          </w:tcPr>
          <w:p>
            <w:pPr>
              <w:spacing w:after="80" w:before="120"/>
              <w:ind w:left="18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2"/>
                <w:szCs w:val="22"/>
              </w:rPr>
              <w:t xml:space="preserve">Standard Disclaimer — Shown on Every Analysis Page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StockIQ Pakistan provides financial data analysis based on publicly available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information from the Pakistan Stock Exchange and company filings.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/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• These scores and analyses are for informational purposes only.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• This is NOT financial advice or a recommendation to buy or sell any security.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• Past financial performance does not guarantee future results.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• All investment decisions are made at your own risk.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• Please consult a SECP-licensed financial advisor before investing.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• Data may have delays or inaccuracies — always verify with official sources.</w:t>
            </w:r>
          </w:p>
          <w:p>
            <w:pPr>
              <w:spacing w:after="60" w:before="60"/>
            </w:pPr>
            <w: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2E86AB" w:sz="10"/>
        </w:pBdr>
        <w:spacing w:after="200" w:before="460"/>
      </w:pPr>
      <w:r>
        <w:rPr>
          <w:rFonts w:ascii="Calibri" w:cs="Calibri" w:eastAsia="Calibri" w:hAnsi="Calibri"/>
          <w:b/>
          <w:bCs/>
          <w:color w:val="1E3A5F"/>
          <w:sz w:val="40"/>
          <w:szCs w:val="40"/>
        </w:rPr>
        <w:t xml:space="preserve">Section 6 — P&amp;L Calculation Methodology</w:t>
      </w:r>
    </w:p>
    <w:p>
      <w:pPr>
        <w:spacing w:after="65" w:before="6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The P&amp;L Calculator estimates potential profit/loss across three scenarios — Bull, Base, and Bear. All figures are based on historical price return data. This is NOT a prediction tool.</w:t>
      </w:r>
    </w:p>
    <w:p>
      <w:pPr>
        <w:spacing w:after="80" w:before="80"/>
      </w:pPr>
      <w:r>
        <w:t xml:space="preserve"/>
      </w:r>
    </w:p>
    <w:p>
      <w:pPr>
        <w:spacing w:after="140" w:before="300"/>
      </w:pPr>
      <w:r>
        <w:rPr>
          <w:rFonts w:ascii="Calibri" w:cs="Calibri" w:eastAsia="Calibri" w:hAnsi="Calibri"/>
          <w:b/>
          <w:bCs/>
          <w:color w:val="2E86AB"/>
          <w:sz w:val="30"/>
          <w:szCs w:val="30"/>
        </w:rPr>
        <w:t xml:space="preserve">6.1 Input Parameters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00"/>
      </w:tblGrid>
      <w:tr>
        <w:tc>
          <w:tcPr>
            <w:tcW w:type="dxa" w:w="25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Input</w:t>
            </w:r>
          </w:p>
        </w:tc>
        <w:tc>
          <w:tcPr>
            <w:tcW w:type="dxa" w:w="20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W w:type="dxa" w:w="45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Validation Rules</w:t>
            </w:r>
          </w:p>
        </w:tc>
      </w:tr>
      <w:tr>
        <w:tc>
          <w:tcPr>
            <w:tcW w:type="dxa" w:w="25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Stock Ticker</w:t>
            </w:r>
          </w:p>
        </w:tc>
        <w:tc>
          <w:tcPr>
            <w:tcW w:type="dxa" w:w="20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PSX ticker (e.g. OGDC)</w:t>
            </w:r>
          </w:p>
        </w:tc>
        <w:tc>
          <w:tcPr>
            <w:tcW w:type="dxa" w:w="45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Must exist in database with 3Y+ history</w:t>
            </w:r>
          </w:p>
        </w:tc>
      </w:tr>
      <w:tr>
        <w:tc>
          <w:tcPr>
            <w:tcW w:type="dxa" w:w="25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Investment Amount (PKR)</w:t>
            </w:r>
          </w:p>
        </w:tc>
        <w:tc>
          <w:tcPr>
            <w:tcW w:type="dxa" w:w="20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Number</w:t>
            </w:r>
          </w:p>
        </w:tc>
        <w:tc>
          <w:tcPr>
            <w:tcW w:type="dxa" w:w="45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Minimum Rs. 1,000 | Maximum Rs. 100,000,000</w:t>
            </w:r>
          </w:p>
        </w:tc>
      </w:tr>
      <w:tr>
        <w:tc>
          <w:tcPr>
            <w:tcW w:type="dxa" w:w="25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Entry Price (PKR)</w:t>
            </w:r>
          </w:p>
        </w:tc>
        <w:tc>
          <w:tcPr>
            <w:tcW w:type="dxa" w:w="20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Number (default = current price)</w:t>
            </w:r>
          </w:p>
        </w:tc>
        <w:tc>
          <w:tcPr>
            <w:tcW w:type="dxa" w:w="45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Must be &gt; 0 | Can be custom (e.g. limit order price)</w:t>
            </w:r>
          </w:p>
        </w:tc>
      </w:tr>
      <w:tr>
        <w:tc>
          <w:tcPr>
            <w:tcW w:type="dxa" w:w="25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Time Horizon</w:t>
            </w:r>
          </w:p>
        </w:tc>
        <w:tc>
          <w:tcPr>
            <w:tcW w:type="dxa" w:w="20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Dropdown</w:t>
            </w:r>
          </w:p>
        </w:tc>
        <w:tc>
          <w:tcPr>
            <w:tcW w:type="dxa" w:w="45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1 month / 3 months / 6 months / 1 year / 2 years / 3 years / Custom</w:t>
            </w:r>
          </w:p>
        </w:tc>
      </w:tr>
      <w:tr>
        <w:tc>
          <w:tcPr>
            <w:tcW w:type="dxa" w:w="25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Number of Shares</w:t>
            </w:r>
          </w:p>
        </w:tc>
        <w:tc>
          <w:tcPr>
            <w:tcW w:type="dxa" w:w="20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Auto-calculated</w:t>
            </w:r>
          </w:p>
        </w:tc>
        <w:tc>
          <w:tcPr>
            <w:tcW w:type="dxa" w:w="45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= Investment Amount ÷ Entry Price (rounded down)</w:t>
            </w:r>
          </w:p>
        </w:tc>
      </w:tr>
      <w:tr>
        <w:tc>
          <w:tcPr>
            <w:tcW w:type="dxa" w:w="25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Remaining Cash</w:t>
            </w:r>
          </w:p>
        </w:tc>
        <w:tc>
          <w:tcPr>
            <w:tcW w:type="dxa" w:w="20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Auto-calculated</w:t>
            </w:r>
          </w:p>
        </w:tc>
        <w:tc>
          <w:tcPr>
            <w:tcW w:type="dxa" w:w="45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= Investment Amount − (Shares × Entry Price)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spacing w:after="140" w:before="300"/>
      </w:pPr>
      <w:r>
        <w:rPr>
          <w:rFonts w:ascii="Calibri" w:cs="Calibri" w:eastAsia="Calibri" w:hAnsi="Calibri"/>
          <w:b/>
          <w:bCs/>
          <w:color w:val="2E86AB"/>
          <w:sz w:val="30"/>
          <w:szCs w:val="30"/>
        </w:rPr>
        <w:t xml:space="preserve">6.2 Scenario Calculation Logic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BF4F8" w:val="clear"/>
          </w:tcPr>
          <w:p>
            <w:pPr>
              <w:spacing w:after="80" w:before="120"/>
              <w:ind w:left="18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How Each Scenario Is Calculated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Step 1: Fetch historical price data for the selected stock (5 years)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Step 2: Calculate all rolling returns for the selected time horizon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       Example for 1-year horizon: calculate every 1-year return in last 5 years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       OGDC 1-year rolling returns: +41%, +12%, -18%, +28%, +8%, +22%, -9%, +35%...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/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Step 3: Sort all rolling returns from worst to best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/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Step 4: Define three scenario percentiles: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BEAR CASE  = 15th percentile of all rolling returns (worst realistic outcome)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BASE CASE  = 50th percentile (median outcome — most likely)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BULL CASE  = 85th percentile (best realistic outcome)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/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Step 5: Apply percentile return to investment amount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Bull P&amp;L  = Investment × (1 + bull_return%) − Investment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Base P&amp;L  = Investment × (1 + base_return%) − Investment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Bear P&amp;L  = Investment × (1 + bear_return%) − Investment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/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Step 6: Add analysis score modifier (optional — +/- 5% adjustment)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Score 80+: Bull percentile shifts to 88th, Bear shifts to 18th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Score 40-: Bull percentile shifts to 82nd, Bear shifts to 12th</w:t>
            </w:r>
          </w:p>
          <w:p>
            <w:pPr>
              <w:spacing w:after="60" w:before="60"/>
            </w:pPr>
            <w:r>
              <w:t xml:space="preserve"/>
            </w:r>
          </w:p>
        </w:tc>
      </w:tr>
    </w:tbl>
    <w:p>
      <w:pPr>
        <w:spacing w:after="160" w:before="160"/>
      </w:pPr>
      <w:r>
        <w:t xml:space="preserve"/>
      </w:r>
    </w:p>
    <w:p>
      <w:pPr>
        <w:spacing w:after="140" w:before="300"/>
      </w:pPr>
      <w:r>
        <w:rPr>
          <w:rFonts w:ascii="Calibri" w:cs="Calibri" w:eastAsia="Calibri" w:hAnsi="Calibri"/>
          <w:b/>
          <w:bCs/>
          <w:color w:val="2E86AB"/>
          <w:sz w:val="30"/>
          <w:szCs w:val="30"/>
        </w:rPr>
        <w:t xml:space="preserve">6.3 Minimum Data Requirements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00"/>
      </w:tblGrid>
      <w:tr>
        <w:tc>
          <w:tcPr>
            <w:tcW w:type="dxa" w:w="25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Time Horizon</w:t>
            </w:r>
          </w:p>
        </w:tc>
        <w:tc>
          <w:tcPr>
            <w:tcW w:type="dxa" w:w="35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Minimum Historical Data Required</w:t>
            </w:r>
          </w:p>
        </w:tc>
        <w:tc>
          <w:tcPr>
            <w:tcW w:type="dxa" w:w="30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Minimum Data Points</w:t>
            </w:r>
          </w:p>
        </w:tc>
      </w:tr>
      <w:tr>
        <w:tc>
          <w:tcPr>
            <w:tcW w:type="dxa" w:w="25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1 month</w:t>
            </w:r>
          </w:p>
        </w:tc>
        <w:tc>
          <w:tcPr>
            <w:tcW w:type="dxa" w:w="35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6 months of daily price data</w:t>
            </w:r>
          </w:p>
        </w:tc>
        <w:tc>
          <w:tcPr>
            <w:tcW w:type="dxa" w:w="30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At least 12 rolling 1-month periods</w:t>
            </w:r>
          </w:p>
        </w:tc>
      </w:tr>
      <w:tr>
        <w:tc>
          <w:tcPr>
            <w:tcW w:type="dxa" w:w="25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3 months</w:t>
            </w:r>
          </w:p>
        </w:tc>
        <w:tc>
          <w:tcPr>
            <w:tcW w:type="dxa" w:w="35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1 year of data</w:t>
            </w:r>
          </w:p>
        </w:tc>
        <w:tc>
          <w:tcPr>
            <w:tcW w:type="dxa" w:w="30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At least 8 rolling 3-month periods</w:t>
            </w:r>
          </w:p>
        </w:tc>
      </w:tr>
      <w:tr>
        <w:tc>
          <w:tcPr>
            <w:tcW w:type="dxa" w:w="25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6 months</w:t>
            </w:r>
          </w:p>
        </w:tc>
        <w:tc>
          <w:tcPr>
            <w:tcW w:type="dxa" w:w="35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2 years of data</w:t>
            </w:r>
          </w:p>
        </w:tc>
        <w:tc>
          <w:tcPr>
            <w:tcW w:type="dxa" w:w="30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At least 12 rolling 6-month periods</w:t>
            </w:r>
          </w:p>
        </w:tc>
      </w:tr>
      <w:tr>
        <w:tc>
          <w:tcPr>
            <w:tcW w:type="dxa" w:w="25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1 year</w:t>
            </w:r>
          </w:p>
        </w:tc>
        <w:tc>
          <w:tcPr>
            <w:tcW w:type="dxa" w:w="35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3 years of data</w:t>
            </w:r>
          </w:p>
        </w:tc>
        <w:tc>
          <w:tcPr>
            <w:tcW w:type="dxa" w:w="30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At least 15 rolling 1-year periods</w:t>
            </w:r>
          </w:p>
        </w:tc>
      </w:tr>
      <w:tr>
        <w:tc>
          <w:tcPr>
            <w:tcW w:type="dxa" w:w="25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2 years</w:t>
            </w:r>
          </w:p>
        </w:tc>
        <w:tc>
          <w:tcPr>
            <w:tcW w:type="dxa" w:w="35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4 years of data</w:t>
            </w:r>
          </w:p>
        </w:tc>
        <w:tc>
          <w:tcPr>
            <w:tcW w:type="dxa" w:w="30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At least 12 rolling 2-year periods</w:t>
            </w:r>
          </w:p>
        </w:tc>
      </w:tr>
      <w:tr>
        <w:tc>
          <w:tcPr>
            <w:tcW w:type="dxa" w:w="25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3 years</w:t>
            </w:r>
          </w:p>
        </w:tc>
        <w:tc>
          <w:tcPr>
            <w:tcW w:type="dxa" w:w="35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5 years of data</w:t>
            </w:r>
          </w:p>
        </w:tc>
        <w:tc>
          <w:tcPr>
            <w:tcW w:type="dxa" w:w="30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At least 10 rolling 3-year periods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spacing w:after="140" w:before="300"/>
      </w:pPr>
      <w:r>
        <w:rPr>
          <w:rFonts w:ascii="Calibri" w:cs="Calibri" w:eastAsia="Calibri" w:hAnsi="Calibri"/>
          <w:b/>
          <w:bCs/>
          <w:color w:val="2E86AB"/>
          <w:sz w:val="30"/>
          <w:szCs w:val="30"/>
        </w:rPr>
        <w:t xml:space="preserve">6.4 P&amp;L Output Format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BF4F8" w:val="clear"/>
          </w:tcPr>
          <w:p>
            <w:pPr>
              <w:spacing w:after="80" w:before="120"/>
              <w:ind w:left="18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Complete P&amp;L Output — OGDC Example  |  Rs. 50,000  |  1 Year  |  Price: Rs. 125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Shares Purchased:    400 shares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Amount Invested:     Rs. 50,000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Remaining Cash:      Rs. 0  (400 × Rs. 125 = Rs. 50,000 exactly)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Current Score:       74 / 100  (Value Strategy)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/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Historical Return Analysis (1-year rolling, last 5 years, 22 data points):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Worst 1Y return:  -22%  |  Best 1Y return: +48%  |  Median: +13%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/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🟢  BULL CASE  (85th percentile — +36% return)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  Exit Price:    Rs. 170  |  Exit Value:  Rs. 68,000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  Profit:        Rs. +18,000  (+36.0%)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  Condition:     FCF continues growing, commodity prices favorable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/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🟡  BASE CASE  (50th percentile — +13% return)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  Exit Price:    Rs. 141  |  Exit Value:  Rs. 56,500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  Profit:        Rs. +6,500  (+13.0%)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  Condition:     Stable operations, dividend maintained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/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🔴  BEAR CASE  (15th percentile — -16% return)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  Exit Price:    Rs. 105  |  Exit Value:  Rs. 42,000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  Loss:          Rs. -8,000  (-16.0%)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  Condition:     Commodity price drop, earnings miss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/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⚠️  Based on historical price data only. Not a prediction.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  Actual results may differ significantly from all scenarios.</w:t>
            </w:r>
          </w:p>
          <w:p>
            <w:pPr>
              <w:spacing w:after="60" w:before="60"/>
            </w:pPr>
            <w:r>
              <w:t xml:space="preserve"/>
            </w:r>
          </w:p>
        </w:tc>
      </w:tr>
    </w:tbl>
    <w:p>
      <w:pPr>
        <w:spacing w:after="160" w:before="160"/>
      </w:pPr>
      <w:r>
        <w:t xml:space="preserve"/>
      </w:r>
    </w:p>
    <w:p>
      <w:pPr>
        <w:spacing w:after="140" w:before="300"/>
      </w:pPr>
      <w:r>
        <w:rPr>
          <w:rFonts w:ascii="Calibri" w:cs="Calibri" w:eastAsia="Calibri" w:hAnsi="Calibri"/>
          <w:b/>
          <w:bCs/>
          <w:color w:val="2E86AB"/>
          <w:sz w:val="30"/>
          <w:szCs w:val="30"/>
        </w:rPr>
        <w:t xml:space="preserve">6.5 What P&amp;L Display Does NOT Show</w:t>
      </w:r>
    </w:p>
    <w:p>
      <w:pPr>
        <w:spacing w:after="50" w:before="50"/>
        <w:ind w:left="40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• Does NOT show a 'most likely' outcome without context</w:t>
      </w:r>
    </w:p>
    <w:p>
      <w:pPr>
        <w:spacing w:after="50" w:before="50"/>
        <w:ind w:left="400"/>
      </w:pPr>
      <w:r>
        <w:rPr>
          <w:rFonts w:ascii="Calibri" w:cs="Calibri" w:eastAsia="Calibri" w:hAnsi="Calibri"/>
          <w:b w:val="false"/>
          <w:bCs w:val="false"/>
          <w:color w:val="111827"/>
          <w:sz w:val="21"/>
          <w:szCs w:val="21"/>
        </w:rPr>
        <w:t xml:space="preserve">• Does NOT show returns beyond 85th percentile as 'possible upside'</w:t>
      </w:r>
    </w:p>
    <w:p>
      <w:pPr>
        <w:spacing w:after="50" w:before="50"/>
        <w:ind w:left="400"/>
      </w:pPr>
      <w:r>
        <w:rPr>
          <w:rFonts w:ascii="Calibri" w:cs="Calibri" w:eastAsia="Calibri" w:hAnsi="Calibri"/>
          <w:b w:val="false"/>
          <w:bCs w:val="false"/>
          <w:color w:val="111827"/>
          <w:sz w:val="21"/>
          <w:szCs w:val="21"/>
        </w:rPr>
        <w:t xml:space="preserve">• Does NOT imply any scenario is guaranteed or probable</w:t>
      </w:r>
    </w:p>
    <w:p>
      <w:pPr>
        <w:spacing w:after="50" w:before="50"/>
        <w:ind w:left="400"/>
      </w:pPr>
      <w:r>
        <w:rPr>
          <w:rFonts w:ascii="Calibri" w:cs="Calibri" w:eastAsia="Calibri" w:hAnsi="Calibri"/>
          <w:b w:val="false"/>
          <w:bCs w:val="false"/>
          <w:color w:val="111827"/>
          <w:sz w:val="21"/>
          <w:szCs w:val="21"/>
        </w:rPr>
        <w:t xml:space="preserve">• Does NOT factor in dividends received during hold period (shown separately)</w:t>
      </w:r>
    </w:p>
    <w:p>
      <w:pPr>
        <w:spacing w:after="50" w:before="50"/>
        <w:ind w:left="400"/>
      </w:pPr>
      <w:r>
        <w:rPr>
          <w:rFonts w:ascii="Calibri" w:cs="Calibri" w:eastAsia="Calibri" w:hAnsi="Calibri"/>
          <w:b w:val="false"/>
          <w:bCs w:val="false"/>
          <w:color w:val="111827"/>
          <w:sz w:val="21"/>
          <w:szCs w:val="21"/>
        </w:rPr>
        <w:t xml:space="preserve">• Does NOT factor in brokerage/tax costs (shown as estimate only)</w:t>
      </w:r>
    </w:p>
    <w:p>
      <w:pPr>
        <w:spacing w:after="50" w:before="50"/>
        <w:ind w:left="400"/>
      </w:pPr>
      <w:r>
        <w:rPr>
          <w:rFonts w:ascii="Calibri" w:cs="Calibri" w:eastAsia="Calibri" w:hAnsi="Calibri"/>
          <w:b w:val="false"/>
          <w:bCs w:val="false"/>
          <w:color w:val="111827"/>
          <w:sz w:val="21"/>
          <w:szCs w:val="21"/>
        </w:rPr>
        <w:t xml:space="preserve">• Always shows all three scenarios simultaneously — never just the bull case</w:t>
      </w:r>
    </w:p>
    <w:p>
      <w:r>
        <w:br w:type="page"/>
      </w:r>
    </w:p>
    <w:p>
      <w:pPr>
        <w:pBdr>
          <w:bottom w:val="single" w:color="2E86AB" w:sz="10"/>
        </w:pBdr>
        <w:spacing w:after="200" w:before="460"/>
      </w:pPr>
      <w:r>
        <w:rPr>
          <w:rFonts w:ascii="Calibri" w:cs="Calibri" w:eastAsia="Calibri" w:hAnsi="Calibri"/>
          <w:b/>
          <w:bCs/>
          <w:color w:val="1E3A5F"/>
          <w:sz w:val="40"/>
          <w:szCs w:val="40"/>
        </w:rPr>
        <w:t xml:space="preserve">Section 7 — Thesis Tracker Design</w:t>
      </w:r>
    </w:p>
    <w:p>
      <w:pPr>
        <w:spacing w:after="65" w:before="6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The Thesis Tracker allows users to define their investment hypothesis for any stock and automatically checks it against real data every quarter.</w:t>
      </w:r>
    </w:p>
    <w:p>
      <w:pPr>
        <w:spacing w:after="80" w:before="80"/>
      </w:pPr>
      <w:r>
        <w:t xml:space="preserve"/>
      </w:r>
    </w:p>
    <w:p>
      <w:pPr>
        <w:spacing w:after="140" w:before="300"/>
      </w:pPr>
      <w:r>
        <w:rPr>
          <w:rFonts w:ascii="Calibri" w:cs="Calibri" w:eastAsia="Calibri" w:hAnsi="Calibri"/>
          <w:b/>
          <w:bCs/>
          <w:color w:val="2E86AB"/>
          <w:sz w:val="30"/>
          <w:szCs w:val="30"/>
        </w:rPr>
        <w:t xml:space="preserve">7.1 Thesis Fields — What User Defines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3000"/>
        <w:gridCol w:w="2000"/>
      </w:tblGrid>
      <w:tr>
        <w:tc>
          <w:tcPr>
            <w:tcW w:type="dxa" w:w="25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5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0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  <w:tc>
          <w:tcPr>
            <w:tcW w:type="dxa" w:w="20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Auto-Checked?</w:t>
            </w:r>
          </w:p>
        </w:tc>
      </w:tr>
      <w:tr>
        <w:tc>
          <w:tcPr>
            <w:tcW w:type="dxa" w:w="25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Stock Ticker</w:t>
            </w:r>
          </w:p>
        </w:tc>
        <w:tc>
          <w:tcPr>
            <w:tcW w:type="dxa" w:w="15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Dropdown</w:t>
            </w:r>
          </w:p>
        </w:tc>
        <w:tc>
          <w:tcPr>
            <w:tcW w:type="dxa" w:w="30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ENGRO</w:t>
            </w:r>
          </w:p>
        </w:tc>
        <w:tc>
          <w:tcPr>
            <w:tcW w:type="dxa" w:w="20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5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Thesis Title</w:t>
            </w:r>
          </w:p>
        </w:tc>
        <w:tc>
          <w:tcPr>
            <w:tcW w:type="dxa" w:w="15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Text</w:t>
            </w:r>
          </w:p>
        </w:tc>
        <w:tc>
          <w:tcPr>
            <w:tcW w:type="dxa" w:w="30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ENGRO Long-Term Value Play</w:t>
            </w:r>
          </w:p>
        </w:tc>
        <w:tc>
          <w:tcPr>
            <w:tcW w:type="dxa" w:w="20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5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Created Date</w:t>
            </w:r>
          </w:p>
        </w:tc>
        <w:tc>
          <w:tcPr>
            <w:tcW w:type="dxa" w:w="15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Auto</w:t>
            </w:r>
          </w:p>
        </w:tc>
        <w:tc>
          <w:tcPr>
            <w:tcW w:type="dxa" w:w="30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2025-01-15</w:t>
            </w:r>
          </w:p>
        </w:tc>
        <w:tc>
          <w:tcPr>
            <w:tcW w:type="dxa" w:w="20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5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Target Hold Period</w:t>
            </w:r>
          </w:p>
        </w:tc>
        <w:tc>
          <w:tcPr>
            <w:tcW w:type="dxa" w:w="15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Dropdown</w:t>
            </w:r>
          </w:p>
        </w:tc>
        <w:tc>
          <w:tcPr>
            <w:tcW w:type="dxa" w:w="30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2 years</w:t>
            </w:r>
          </w:p>
        </w:tc>
        <w:tc>
          <w:tcPr>
            <w:tcW w:type="dxa" w:w="20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5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Investment Amount</w:t>
            </w:r>
          </w:p>
        </w:tc>
        <w:tc>
          <w:tcPr>
            <w:tcW w:type="dxa" w:w="15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Number</w:t>
            </w:r>
          </w:p>
        </w:tc>
        <w:tc>
          <w:tcPr>
            <w:tcW w:type="dxa" w:w="30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Rs. 100,000</w:t>
            </w:r>
          </w:p>
        </w:tc>
        <w:tc>
          <w:tcPr>
            <w:tcW w:type="dxa" w:w="20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5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Revenue Growth Condition</w:t>
            </w:r>
          </w:p>
        </w:tc>
        <w:tc>
          <w:tcPr>
            <w:tcW w:type="dxa" w:w="15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Number + operator</w:t>
            </w:r>
          </w:p>
        </w:tc>
        <w:tc>
          <w:tcPr>
            <w:tcW w:type="dxa" w:w="30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Revenue YoY &gt; 8%</w:t>
            </w:r>
          </w:p>
        </w:tc>
        <w:tc>
          <w:tcPr>
            <w:tcW w:type="dxa" w:w="20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Yes — quarterly</w:t>
            </w:r>
          </w:p>
        </w:tc>
      </w:tr>
      <w:tr>
        <w:tc>
          <w:tcPr>
            <w:tcW w:type="dxa" w:w="25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FCF Condition</w:t>
            </w:r>
          </w:p>
        </w:tc>
        <w:tc>
          <w:tcPr>
            <w:tcW w:type="dxa" w:w="15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Number + operator</w:t>
            </w:r>
          </w:p>
        </w:tc>
        <w:tc>
          <w:tcPr>
            <w:tcW w:type="dxa" w:w="30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FCF Margin &gt; 10%</w:t>
            </w:r>
          </w:p>
        </w:tc>
        <w:tc>
          <w:tcPr>
            <w:tcW w:type="dxa" w:w="20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Yes — quarterly</w:t>
            </w:r>
          </w:p>
        </w:tc>
      </w:tr>
      <w:tr>
        <w:tc>
          <w:tcPr>
            <w:tcW w:type="dxa" w:w="25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Debt Condition</w:t>
            </w:r>
          </w:p>
        </w:tc>
        <w:tc>
          <w:tcPr>
            <w:tcW w:type="dxa" w:w="15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Number + operator</w:t>
            </w:r>
          </w:p>
        </w:tc>
        <w:tc>
          <w:tcPr>
            <w:tcW w:type="dxa" w:w="30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Debt/Equity &lt; 1.5</w:t>
            </w:r>
          </w:p>
        </w:tc>
        <w:tc>
          <w:tcPr>
            <w:tcW w:type="dxa" w:w="20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Yes — quarterly</w:t>
            </w:r>
          </w:p>
        </w:tc>
      </w:tr>
      <w:tr>
        <w:tc>
          <w:tcPr>
            <w:tcW w:type="dxa" w:w="25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Dividend Condition</w:t>
            </w:r>
          </w:p>
        </w:tc>
        <w:tc>
          <w:tcPr>
            <w:tcW w:type="dxa" w:w="15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Number + operator</w:t>
            </w:r>
          </w:p>
        </w:tc>
        <w:tc>
          <w:tcPr>
            <w:tcW w:type="dxa" w:w="30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Dividend Yield &gt; 4%</w:t>
            </w:r>
          </w:p>
        </w:tc>
        <w:tc>
          <w:tcPr>
            <w:tcW w:type="dxa" w:w="20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Yes — quarterly</w:t>
            </w:r>
          </w:p>
        </w:tc>
      </w:tr>
      <w:tr>
        <w:tc>
          <w:tcPr>
            <w:tcW w:type="dxa" w:w="25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Valuation Condition</w:t>
            </w:r>
          </w:p>
        </w:tc>
        <w:tc>
          <w:tcPr>
            <w:tcW w:type="dxa" w:w="15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Number + operator</w:t>
            </w:r>
          </w:p>
        </w:tc>
        <w:tc>
          <w:tcPr>
            <w:tcW w:type="dxa" w:w="30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P/E &lt; 12</w:t>
            </w:r>
          </w:p>
        </w:tc>
        <w:tc>
          <w:tcPr>
            <w:tcW w:type="dxa" w:w="20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Yes — quarterly</w:t>
            </w:r>
          </w:p>
        </w:tc>
      </w:tr>
      <w:tr>
        <w:tc>
          <w:tcPr>
            <w:tcW w:type="dxa" w:w="25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Margin Condition</w:t>
            </w:r>
          </w:p>
        </w:tc>
        <w:tc>
          <w:tcPr>
            <w:tcW w:type="dxa" w:w="15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Number + operator</w:t>
            </w:r>
          </w:p>
        </w:tc>
        <w:tc>
          <w:tcPr>
            <w:tcW w:type="dxa" w:w="30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Net Margin &gt; 15%</w:t>
            </w:r>
          </w:p>
        </w:tc>
        <w:tc>
          <w:tcPr>
            <w:tcW w:type="dxa" w:w="20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Yes — quarterly</w:t>
            </w:r>
          </w:p>
        </w:tc>
      </w:tr>
      <w:tr>
        <w:tc>
          <w:tcPr>
            <w:tcW w:type="dxa" w:w="25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Custom Note 1</w:t>
            </w:r>
          </w:p>
        </w:tc>
        <w:tc>
          <w:tcPr>
            <w:tcW w:type="dxa" w:w="15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Free text</w:t>
            </w:r>
          </w:p>
        </w:tc>
        <w:tc>
          <w:tcPr>
            <w:tcW w:type="dxa" w:w="30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'Watch for margin compression'</w:t>
            </w:r>
          </w:p>
        </w:tc>
        <w:tc>
          <w:tcPr>
            <w:tcW w:type="dxa" w:w="20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No — user reference</w:t>
            </w:r>
          </w:p>
        </w:tc>
      </w:tr>
      <w:tr>
        <w:tc>
          <w:tcPr>
            <w:tcW w:type="dxa" w:w="25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Custom Note 2</w:t>
            </w:r>
          </w:p>
        </w:tc>
        <w:tc>
          <w:tcPr>
            <w:tcW w:type="dxa" w:w="15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Free text</w:t>
            </w:r>
          </w:p>
        </w:tc>
        <w:tc>
          <w:tcPr>
            <w:tcW w:type="dxa" w:w="30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'Debt should not rise 2 quarters in a row'</w:t>
            </w:r>
          </w:p>
        </w:tc>
        <w:tc>
          <w:tcPr>
            <w:tcW w:type="dxa" w:w="20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No — user reference</w:t>
            </w:r>
          </w:p>
        </w:tc>
      </w:tr>
      <w:tr>
        <w:tc>
          <w:tcPr>
            <w:tcW w:type="dxa" w:w="25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Minimum Conditions to Stay Valid</w:t>
            </w:r>
          </w:p>
        </w:tc>
        <w:tc>
          <w:tcPr>
            <w:tcW w:type="dxa" w:w="15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Number</w:t>
            </w:r>
          </w:p>
        </w:tc>
        <w:tc>
          <w:tcPr>
            <w:tcW w:type="dxa" w:w="30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At least 4 of 6 must pass</w:t>
            </w:r>
          </w:p>
        </w:tc>
        <w:tc>
          <w:tcPr>
            <w:tcW w:type="dxa" w:w="20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Auto-applied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spacing w:after="140" w:before="300"/>
      </w:pPr>
      <w:r>
        <w:rPr>
          <w:rFonts w:ascii="Calibri" w:cs="Calibri" w:eastAsia="Calibri" w:hAnsi="Calibri"/>
          <w:b/>
          <w:bCs/>
          <w:color w:val="2E86AB"/>
          <w:sz w:val="30"/>
          <w:szCs w:val="30"/>
        </w:rPr>
        <w:t xml:space="preserve">7.2 Quarterly Auto-Check Logic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BF4F8" w:val="clear"/>
          </w:tcPr>
          <w:p>
            <w:pPr>
              <w:spacing w:after="80" w:before="120"/>
              <w:ind w:left="18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Thesis Check Flow — Triggered When New Quarterly Data Arrives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Trigger: New quarterly financial results published for this stock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/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Step 1: Fetch latest quarterly data from database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Step 2: Evaluate each user condition against actual data: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       Revenue YoY &gt; 8%   →  Actual: 11.2%   →  PASS ✓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       FCF Margin &gt; 10%   →  Actual: 12.1%   →  PASS ✓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       Debt/Equity &lt; 1.5  →  Actual: 1.8     →  FAIL ✗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       Div Yield &gt; 4%     →  Actual: 4.8%    →  PASS ✓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       P/E &lt; 12           →  Actual: 9.4     →  PASS ✓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       Net Margin &gt; 15%   →  Actual: 16.2%   →  PASS ✓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/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Step 3: Count passes vs fails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       Passed: 5/6  →  Minimum threshold: 4/6  →  Threshold met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/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Step 4: Assign thesis status: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       All conditions pass    →  FULLY VALID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       ≥ minimum pass         →  PARTIALLY VALID — list breached items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       &lt; minimum pass         →  THESIS BROKEN — review required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       0 conditions pass      →  THESIS INVALIDATED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/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Step 5: Update thesis record in database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Step 6: Send notification to user (email + in-app)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Step 7: Log check history with date and results</w:t>
            </w:r>
          </w:p>
          <w:p>
            <w:pPr>
              <w:spacing w:after="60" w:before="60"/>
            </w:pPr>
            <w:r>
              <w:t xml:space="preserve"/>
            </w:r>
          </w:p>
        </w:tc>
      </w:tr>
    </w:tbl>
    <w:p>
      <w:pPr>
        <w:spacing w:after="160" w:before="160"/>
      </w:pPr>
      <w:r>
        <w:t xml:space="preserve"/>
      </w:r>
    </w:p>
    <w:p>
      <w:pPr>
        <w:spacing w:after="140" w:before="300"/>
      </w:pPr>
      <w:r>
        <w:rPr>
          <w:rFonts w:ascii="Calibri" w:cs="Calibri" w:eastAsia="Calibri" w:hAnsi="Calibri"/>
          <w:b/>
          <w:bCs/>
          <w:color w:val="2E86AB"/>
          <w:sz w:val="30"/>
          <w:szCs w:val="30"/>
        </w:rPr>
        <w:t xml:space="preserve">7.3 Thesis Status Labels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1500"/>
        <w:gridCol w:w="2500"/>
      </w:tblGrid>
      <w:tr>
        <w:tc>
          <w:tcPr>
            <w:tcW w:type="dxa" w:w="22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8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Condition</w:t>
            </w:r>
          </w:p>
        </w:tc>
        <w:tc>
          <w:tcPr>
            <w:tcW w:type="dxa" w:w="15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Color</w:t>
            </w:r>
          </w:p>
        </w:tc>
        <w:tc>
          <w:tcPr>
            <w:tcW w:type="dxa" w:w="25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Recommended Action</w:t>
            </w:r>
          </w:p>
        </w:tc>
      </w:tr>
      <w:tr>
        <w:tc>
          <w:tcPr>
            <w:tcW w:type="dxa" w:w="22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FULLY VALID</w:t>
            </w:r>
          </w:p>
        </w:tc>
        <w:tc>
          <w:tcPr>
            <w:tcW w:type="dxa" w:w="28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All conditions passed</w:t>
            </w:r>
          </w:p>
        </w:tc>
        <w:tc>
          <w:tcPr>
            <w:tcW w:type="dxa" w:w="15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Green</w:t>
            </w:r>
          </w:p>
        </w:tc>
        <w:tc>
          <w:tcPr>
            <w:tcW w:type="dxa" w:w="25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Continue holding — thesis intact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PARTIALLY VALID</w:t>
            </w:r>
          </w:p>
        </w:tc>
        <w:tc>
          <w:tcPr>
            <w:tcW w:type="dxa" w:w="28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≥ minimum threshold passed</w:t>
            </w:r>
          </w:p>
        </w:tc>
        <w:tc>
          <w:tcPr>
            <w:tcW w:type="dxa" w:w="15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Orange</w:t>
            </w:r>
          </w:p>
        </w:tc>
        <w:tc>
          <w:tcPr>
            <w:tcW w:type="dxa" w:w="25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Review breached items — decide to hold or exit</w:t>
            </w:r>
          </w:p>
        </w:tc>
      </w:tr>
      <w:tr>
        <w:tc>
          <w:tcPr>
            <w:tcW w:type="dxa" w:w="22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THESIS BROKEN</w:t>
            </w:r>
          </w:p>
        </w:tc>
        <w:tc>
          <w:tcPr>
            <w:tcW w:type="dxa" w:w="28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&lt; minimum threshold passed</w:t>
            </w:r>
          </w:p>
        </w:tc>
        <w:tc>
          <w:tcPr>
            <w:tcW w:type="dxa" w:w="15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Red</w:t>
            </w:r>
          </w:p>
        </w:tc>
        <w:tc>
          <w:tcPr>
            <w:tcW w:type="dxa" w:w="25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Major review needed — thesis partially invalidated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THESIS INVALIDATED</w:t>
            </w:r>
          </w:p>
        </w:tc>
        <w:tc>
          <w:tcPr>
            <w:tcW w:type="dxa" w:w="28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0 or 1 conditions passed</w:t>
            </w:r>
          </w:p>
        </w:tc>
        <w:tc>
          <w:tcPr>
            <w:tcW w:type="dxa" w:w="15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Dark Red</w:t>
            </w:r>
          </w:p>
        </w:tc>
        <w:tc>
          <w:tcPr>
            <w:tcW w:type="dxa" w:w="25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Consider full review — core thesis is broken</w:t>
            </w:r>
          </w:p>
        </w:tc>
      </w:tr>
      <w:tr>
        <w:tc>
          <w:tcPr>
            <w:tcW w:type="dxa" w:w="22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DATA PENDING</w:t>
            </w:r>
          </w:p>
        </w:tc>
        <w:tc>
          <w:tcPr>
            <w:tcW w:type="dxa" w:w="28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Quarterly results not yet released</w:t>
            </w:r>
          </w:p>
        </w:tc>
        <w:tc>
          <w:tcPr>
            <w:tcW w:type="dxa" w:w="15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Gray</w:t>
            </w:r>
          </w:p>
        </w:tc>
        <w:tc>
          <w:tcPr>
            <w:tcW w:type="dxa" w:w="25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Waiting for next quarterly report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EXPIRED</w:t>
            </w:r>
          </w:p>
        </w:tc>
        <w:tc>
          <w:tcPr>
            <w:tcW w:type="dxa" w:w="28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Hold period has passed</w:t>
            </w:r>
          </w:p>
        </w:tc>
        <w:tc>
          <w:tcPr>
            <w:tcW w:type="dxa" w:w="15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Blue</w:t>
            </w:r>
          </w:p>
        </w:tc>
        <w:tc>
          <w:tcPr>
            <w:tcW w:type="dxa" w:w="25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User should review and renew or close thesis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spacing w:after="140" w:before="300"/>
      </w:pPr>
      <w:r>
        <w:rPr>
          <w:rFonts w:ascii="Calibri" w:cs="Calibri" w:eastAsia="Calibri" w:hAnsi="Calibri"/>
          <w:b/>
          <w:bCs/>
          <w:color w:val="2E86AB"/>
          <w:sz w:val="30"/>
          <w:szCs w:val="30"/>
        </w:rPr>
        <w:t xml:space="preserve">7.4 Thesis History Log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 Stored Per Check</w:t>
            </w:r>
          </w:p>
        </w:tc>
        <w:tc>
          <w:tcPr>
            <w:tcW w:type="dxa" w:w="60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0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Check Date</w:t>
            </w:r>
          </w:p>
        </w:tc>
        <w:tc>
          <w:tcPr>
            <w:tcW w:type="dxa" w:w="60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Date when quarterly check was run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Quarter Label</w:t>
            </w:r>
          </w:p>
        </w:tc>
        <w:tc>
          <w:tcPr>
            <w:tcW w:type="dxa" w:w="60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e.g. Q2 FY2025</w:t>
            </w:r>
          </w:p>
        </w:tc>
      </w:tr>
      <w:tr>
        <w:tc>
          <w:tcPr>
            <w:tcW w:type="dxa" w:w="30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Each Condition Result</w:t>
            </w:r>
          </w:p>
        </w:tc>
        <w:tc>
          <w:tcPr>
            <w:tcW w:type="dxa" w:w="60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PASS / FAIL with actual value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Overall Status</w:t>
            </w:r>
          </w:p>
        </w:tc>
        <w:tc>
          <w:tcPr>
            <w:tcW w:type="dxa" w:w="60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FULLY VALID / PARTIALLY VALID / etc.</w:t>
            </w:r>
          </w:p>
        </w:tc>
      </w:tr>
      <w:tr>
        <w:tc>
          <w:tcPr>
            <w:tcW w:type="dxa" w:w="30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Score at Check Time</w:t>
            </w:r>
          </w:p>
        </w:tc>
        <w:tc>
          <w:tcPr>
            <w:tcW w:type="dxa" w:w="60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StockIQ score for the stock on that date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Score Change</w:t>
            </w:r>
          </w:p>
        </w:tc>
        <w:tc>
          <w:tcPr>
            <w:tcW w:type="dxa" w:w="60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vs previous check (+3, -5, etc.)</w:t>
            </w:r>
          </w:p>
        </w:tc>
      </w:tr>
      <w:tr>
        <w:tc>
          <w:tcPr>
            <w:tcW w:type="dxa" w:w="30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User Notes</w:t>
            </w:r>
          </w:p>
        </w:tc>
        <w:tc>
          <w:tcPr>
            <w:tcW w:type="dxa" w:w="60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Any note user added after review</w:t>
            </w:r>
          </w:p>
        </w:tc>
      </w:tr>
    </w:tbl>
    <w:p>
      <w:r>
        <w:br w:type="page"/>
      </w:r>
    </w:p>
    <w:p>
      <w:pPr>
        <w:pBdr>
          <w:bottom w:val="single" w:color="2E86AB" w:sz="10"/>
        </w:pBdr>
        <w:spacing w:after="200" w:before="460"/>
      </w:pPr>
      <w:r>
        <w:rPr>
          <w:rFonts w:ascii="Calibri" w:cs="Calibri" w:eastAsia="Calibri" w:hAnsi="Calibri"/>
          <w:b/>
          <w:bCs/>
          <w:color w:val="1E3A5F"/>
          <w:sz w:val="40"/>
          <w:szCs w:val="40"/>
        </w:rPr>
        <w:t xml:space="preserve">Section 8 — Module Wireframes</w:t>
      </w:r>
    </w:p>
    <w:p>
      <w:pPr>
        <w:spacing w:after="65" w:before="6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Text-based wireframes showing layout and component placement for all 4 modules. Use these as blueprint for Figma / frontend development.</w:t>
      </w:r>
    </w:p>
    <w:p>
      <w:pPr>
        <w:spacing w:after="80" w:before="80"/>
      </w:pPr>
      <w:r>
        <w:t xml:space="preserve"/>
      </w:r>
    </w:p>
    <w:p>
      <w:pPr>
        <w:spacing w:after="140" w:before="300"/>
      </w:pPr>
      <w:r>
        <w:rPr>
          <w:rFonts w:ascii="Calibri" w:cs="Calibri" w:eastAsia="Calibri" w:hAnsi="Calibri"/>
          <w:b/>
          <w:bCs/>
          <w:color w:val="2E86AB"/>
          <w:sz w:val="30"/>
          <w:szCs w:val="30"/>
        </w:rPr>
        <w:t xml:space="preserve">Wireframe 1 — Market Dashboard (Home Screen)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BF4F8" w:val="clear"/>
          </w:tcPr>
          <w:p>
            <w:pPr>
              <w:spacing w:after="80" w:before="120"/>
              <w:ind w:left="18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MARKET DASHBOARD — Full Layout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┌─────────────────────────────────────────────────────────────────────┐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│  STOCKIQ PAKISTAN          [Search stocks...]        [Login] [Pro]  │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├─────────────────────────────────────────────────────────────────────┤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│  KSE-100: 47,823 ▲ +234 (+0.49%)  │  KSE-30: 18,421 ▲ +98        │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│  KSE All-Share: 32,104 ▼ -45       │  Market: OPEN  Vol: 142M      │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├─────────────────────────────────────────────────────────────────────┤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│                                                                     │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│  [All Sectors ▼]  [Sort by: Change% ▼]  [Search: _____________]   │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│                                                                     │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│  Company         Ticker  Sector   Price    Chg%    Vol      Score  │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│  ─────────────────────────────────────────────────────────────────  │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│  Lucky Cement    LUCK    Cement   Rs.847   +2.1%   2.4M     81     │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│  OGDC            OGDC    Oil&amp;Gas  Rs.125   -0.8%   8.1M     74     │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│  HBL             HBL     Banks    Rs.142   +1.2%   5.2M     77     │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│  ENGRO           ENGRO   Fert.    Rs.284   +0.5%   1.8M     79     │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│  TRG Pakistan    TRG     Tech     Rs.95    +3.4%   3.1M     85     │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│  [Load more...]                                                     │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│                                                                     │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├────────────────────┬────────────────────┬───────────────────────────┤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│  TOP GAINERS       │  TOP LOSERS         │  MOST ACTIVE             │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│  TRG  +3.4%        │  PSO   -2.1%        │  OGDC    8.1M shares     │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│  LUCK +2.1%        │  DGKC  -1.8%        │  HBL     5.2M shares     │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│  HBL  +1.2%        │  ASTL  -1.5%        │  TRG     3.1M shares     │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│  [View all →]      │  [View all →]        │  [View all →]            │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├────────────────────┴────────────────────┴───────────────────────────┤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│  SECTOR HEATMAP                                                     │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│  [Oil&amp;Gas +0.8%] [Banks +0.9%] [Cement +1.2%] [Tech +2.1%]        │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│  [Fertilizer -0.2%] [Power -0.5%] [Textile +0.3%] [Pharma +0.1%]  │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└─────────────────────────────────────────────────────────────────────┘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after="60" w:before="60"/>
            </w:pPr>
            <w:r>
              <w:t xml:space="preserve"/>
            </w:r>
          </w:p>
        </w:tc>
      </w:tr>
    </w:tbl>
    <w:p>
      <w:pPr>
        <w:spacing w:after="160" w:before="160"/>
      </w:pPr>
      <w:r>
        <w:t xml:space="preserve"/>
      </w:r>
    </w:p>
    <w:p>
      <w:pPr>
        <w:spacing w:after="140" w:before="300"/>
      </w:pPr>
      <w:r>
        <w:rPr>
          <w:rFonts w:ascii="Calibri" w:cs="Calibri" w:eastAsia="Calibri" w:hAnsi="Calibri"/>
          <w:b/>
          <w:bCs/>
          <w:color w:val="2E86AB"/>
          <w:sz w:val="30"/>
          <w:szCs w:val="30"/>
        </w:rPr>
        <w:t xml:space="preserve">Wireframe 2 — Stock Analysis Page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BF4F8" w:val="clear"/>
          </w:tcPr>
          <w:p>
            <w:pPr>
              <w:spacing w:after="80" w:before="120"/>
              <w:ind w:left="18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STOCK ANALYSIS — Full Layout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┌─────────────────────────────────────────────────────────────────────┐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│  ← Back to Dashboard                              [☆ Watchlist]    │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├─────────────────────────────────────────────────────────────────────┤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│  OIL &amp; GAS DEVELOPMENT COMPANY (OGDC)  │  Oil &amp; Gas Exploration    │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│  Rs. 125.40  ▼ -1.20 (-0.95%)           │  52W: Rs.98 — Rs.152     │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│  Vol: 8.1M   Mkt Cap: Rs. 538B           │  Updated: 2 min ago      │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├─────────────────────────────────────────────────────────────────────┤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│                     [TradingView Price Chart]                       │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│                     (1D | 1W | 1M | 3M | 1Y | 5Y)                 │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├───────────────────────────────┬─────────────────────────────────────┤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│  STRATEGY: [Value ▼]          │  OVERALL SCORE                      │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│  (dropdown — 7 presets)       │         74                          │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│                               │       out of 100                    │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│  [Custom Weights →]           │    MODERATE FIT — Value             │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├───────────────────────────────┴─────────────────────────────────────┤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│  CATEGORY SCORES                                                    │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│  Business Quality  [████████░░] 78  GOOD                           │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│  Revenue Growth    [████░░░░░░] 41  AVERAGE                        │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│  Profitability     [███████░░░] 72  GOOD                           │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│  Cash Flow         [████████░░] 81  EXCELLENT                      │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│  Balance Sheet     [████████░░] 83  EXCELLENT                      │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│  Capital Effic.    [██████░░░░] 64  GOOD                           │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│  Valuation         [████████░░] 79  GOOD                           │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│  Dividend          [████████░░] 81  EXCELLENT                      │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│  Management        [█████░░░░░] 55  AVERAGE                        │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│  Risk Score        [███████░░░] 68  GOOD                           │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├─────────────────────────────────────────────────────────────────────┤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│  STRENGTHS (✓)               │  WEAKNESSES (⚠)                    │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│  FCF growing 4 qtrs          │  Revenue CAGR 4.2% — below sector   │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│  D/E 40% below sector avg    │  Operating margin declining          │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│  P/E below 5Y average        │  Management guidance inconsistent    │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│  Dividend yield 5.8%         │                                     │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├─────────────────────────────────────────────────────────────────────┤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│  AI EXPLANATION   [English | اردو]                                  │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│  'OGDC is a cash-generating company with strong dividend            │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│   history and low debt. Best suited for income-focused              │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│   investors. Growth investors should look elsewhere...'             │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├─────────────────────────────────────────────────────────────────────┤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│  FINANCIAL CHARTS (tabs)                                            │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│  [Revenue] [Margins] [FCF] [Debt] [EPS] [Valuation]               │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│                     [Chart displays here]                           │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├─────────────────────────────────────────────────────────────────────┤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│  ANNOUNCEMENTS (PSX Notice Board)                                   │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│  • 15 Jul 2025 — Q4 FY2025 financial results announced             │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│  • 02 Jun 2025 — Dividend of Rs. 7.25/share declared               │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│  • 18 Apr 2025 — AGM scheduled for 15 June 2025                   │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├─────────────────────────────────────────────────────────────────────┤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│  Data: PSX | SECP | yFinance  ·  Last updated: Today 11:42 AM      │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└─────────────────────────────────────────────────────────────────────┘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after="60" w:before="60"/>
            </w:pPr>
            <w:r>
              <w:t xml:space="preserve"/>
            </w:r>
          </w:p>
        </w:tc>
      </w:tr>
    </w:tbl>
    <w:p>
      <w:pPr>
        <w:spacing w:after="160" w:before="160"/>
      </w:pPr>
      <w:r>
        <w:t xml:space="preserve"/>
      </w:r>
    </w:p>
    <w:p>
      <w:pPr>
        <w:spacing w:after="140" w:before="300"/>
      </w:pPr>
      <w:r>
        <w:rPr>
          <w:rFonts w:ascii="Calibri" w:cs="Calibri" w:eastAsia="Calibri" w:hAnsi="Calibri"/>
          <w:b/>
          <w:bCs/>
          <w:color w:val="2E86AB"/>
          <w:sz w:val="30"/>
          <w:szCs w:val="30"/>
        </w:rPr>
        <w:t xml:space="preserve">Wireframe 3 — Investment Advisor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BF4F8" w:val="clear"/>
          </w:tcPr>
          <w:p>
            <w:pPr>
              <w:spacing w:after="80" w:before="120"/>
              <w:ind w:left="18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INVESTMENT ADVISOR — Full Layout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┌─────────────────────────────────────────────────────────────────────┐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│  INVESTMENT ADVISOR                         [Pro Feature — Unlock]  │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│  Tell us about your investment goals                                │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├─────────────────────────────────────────────────────────────────────┤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│  STEP 1 — Your Investment Details                                   │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│                                                                     │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│  Investment Amount (PKR):    [  50,000        ]                     │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│                                                                     │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│  Risk Tolerance:             ( ) Low   (•) Medium   ( ) High       │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│                                                                     │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│  Time Horizon:               [1 Year          ▼]                   │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│                                                                     │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│  Investment Objective:       ( ) Capital Growth                     │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│                              (•) Dividend Income                    │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│                              ( ) Balanced                           │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│                                                                     │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│  Preferred Sector (optional): [All Sectors     ▼]                   │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│                                                                     │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│  Strategy (optional):         [Auto-Select     ▼]                   │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│                                                                     │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│                              [  Get Suggestions  ]                  │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├─────────────────────────────────────────────────────────────────────┤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│  SUGGESTED PORTFOLIO — Rs. 50,000  |  Medium Risk  |  Dividend     │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│                                                                     │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│  Stock    Score  Allocation  Amount     Why                         │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│  ──────────────────────────────────────────────────────────────     │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│  OGDC     81/100   40%      Rs. 20,000  Strong FCF, 5.8% yield     │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│  ENGRO    76/100   35%      Rs. 17,500  Consistent dividend         │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│  MCB      73/100   25%      Rs. 12,500  High ROE, regular dividend  │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│                                                                     │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│  [View OGDC Analysis] [View ENGRO Analysis] [View MCB Analysis]    │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│  [Compare All 3 Side-by-Side →]                                    │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├─────────────────────────────────────────────────────────────────────┤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│  ⚠ DISCLAIMER: Based on financial scores only. Not financial        │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│    advice. Consult a SECP-licensed advisor before investing.        │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└─────────────────────────────────────────────────────────────────────┘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after="60" w:before="60"/>
            </w:pPr>
            <w:r>
              <w:t xml:space="preserve"/>
            </w:r>
          </w:p>
        </w:tc>
      </w:tr>
    </w:tbl>
    <w:p>
      <w:pPr>
        <w:spacing w:after="160" w:before="160"/>
      </w:pPr>
      <w:r>
        <w:t xml:space="preserve"/>
      </w:r>
    </w:p>
    <w:p>
      <w:pPr>
        <w:spacing w:after="140" w:before="300"/>
      </w:pPr>
      <w:r>
        <w:rPr>
          <w:rFonts w:ascii="Calibri" w:cs="Calibri" w:eastAsia="Calibri" w:hAnsi="Calibri"/>
          <w:b/>
          <w:bCs/>
          <w:color w:val="2E86AB"/>
          <w:sz w:val="30"/>
          <w:szCs w:val="30"/>
        </w:rPr>
        <w:t xml:space="preserve">Wireframe 4 — Thesis &amp; P&amp;L Calculator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BF4F8" w:val="clear"/>
          </w:tcPr>
          <w:p>
            <w:pPr>
              <w:spacing w:after="80" w:before="120"/>
              <w:ind w:left="18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THESIS &amp; P&amp;L CALCULATOR — Full Layout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┌─────────────────────────────────────────────────────────────────────┐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│  THESIS &amp; P&amp;L CALCULATOR                    [My Saved Theses (3)]  │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├──────────────────────────────┬──────────────────────────────────────┤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│  P&amp;L CALCULATOR              │  THESIS TRACKER                     │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│                              │                                     │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│  Stock:    [OGDC      ▼]     │  Stock: [ENGRO      ▼]             │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│  Amount:   [Rs. 50,000]      │  Title: [ENGRO Value Play    ]      │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│  Entry:    [Rs. 125.40]      │  Hold:  [2 Years    ▼]              │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│  Shares:   400 (auto)        │                                     │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│  Period:   [1 Year    ▼]     │  My Conditions:                     │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│                              │  Revenue YoY [&gt;▼] [8    ]%          │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│  [Calculate Scenarios]       │  FCF Margin  [&gt;▼] [10   ]%          │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│                              │  Debt/Equity [&lt;▼] [1.5  ]x          │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│  ── RESULTS ──               │  Div Yield   [&gt;▼] [4    ]%          │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│                              │  P/E Ratio   [&lt;▼] [12   ]x          │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│  🟢 BULL CASE  (+36%)        │  Net Margin  [&gt;▼] [15   ]%          │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│  Exit: Rs.170 | Rs.+18,000   │  [+ Add Condition]                  │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│  Condition: Commodity up,    │                                     │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│  FCF grows                   │  Min conditions to stay valid: [4▼] │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│                              │  [Save Thesis]                      │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│  🟡 BASE CASE  (+13%)        │                                     │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│  Exit: Rs.141 | Rs.+6,500    │  ── LATEST CHECK RESULTS ──         │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│  Condition: Stable ops       │  Q2 FY2025  |  Checked: Jul 2025   │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│                              │  ✓ Revenue: 11.2% &gt; 8%             │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│  🔴 BEAR CASE  (-16%)        │  ✓ FCF Margin: 12.1% &gt; 10%        │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│  Exit: Rs.105 | Rs.-8,000    │  ✗ Debt/Eq: 1.8 &gt; 1.5  BREACHED  │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│  Condition: Macro shock,     │  ✓ Div Yield: 4.8% &gt; 4%           │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│  earnings miss               │  ✓ P/E: 9.4 &lt; 12                  │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│                              │  ✓ Net Margin: 16.2% &gt; 15%        │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│  Based on 5Y price history   │                                     │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│  Not a prediction            │  Status: 🟡 PARTIALLY VALID (5/6)  │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│                              │  Score: 74 (+3 since thesis)        │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│  Est. dividends: Rs.+2,900   │  [View Full History] [Update Notes]│</w:t>
            </w:r>
          </w:p>
          <w:p>
            <w:pPr>
              <w:spacing w:after="42" w:before="42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└──────────────────────────────┴──────────────────────────────────────┘</w:t>
            </w:r>
          </w:p>
          <w:p>
            <w:pPr>
              <w:spacing w:after="60" w:before="60"/>
            </w:pPr>
            <w: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2E86AB" w:sz="10"/>
        </w:pBdr>
        <w:spacing w:after="200" w:before="460"/>
      </w:pPr>
      <w:r>
        <w:rPr>
          <w:rFonts w:ascii="Calibri" w:cs="Calibri" w:eastAsia="Calibri" w:hAnsi="Calibri"/>
          <w:b/>
          <w:bCs/>
          <w:color w:val="1E3A5F"/>
          <w:sz w:val="40"/>
          <w:szCs w:val="40"/>
        </w:rPr>
        <w:t xml:space="preserve">Section 9 — M1 Deliverable Checklist</w:t>
      </w:r>
    </w:p>
    <w:p>
      <w:pPr>
        <w:spacing w:after="65" w:before="6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All items below must be complete before starting Milestone 2 development.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1500"/>
        <w:gridCol w:w="3000"/>
      </w:tblGrid>
      <w:tr>
        <w:tc>
          <w:tcPr>
            <w:tcW w:type="dxa" w:w="5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0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  <w:tc>
          <w:tcPr>
            <w:tcW w:type="dxa" w:w="15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30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5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40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KSE-100 ticker universe defined with sector mapping</w:t>
            </w:r>
          </w:p>
        </w:tc>
        <w:tc>
          <w:tcPr>
            <w:tcW w:type="dxa" w:w="15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✅</w:t>
            </w:r>
          </w:p>
        </w:tc>
        <w:tc>
          <w:tcPr>
            <w:tcW w:type="dxa" w:w="30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~100 tickers, 14 sectors</w:t>
            </w:r>
          </w:p>
        </w:tc>
      </w:tr>
      <w:tr>
        <w:tc>
          <w:tcPr>
            <w:tcW w:type="dxa" w:w="5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2</w:t>
            </w:r>
          </w:p>
        </w:tc>
        <w:tc>
          <w:tcPr>
            <w:tcW w:type="dxa" w:w="40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10 scoring categories finalized</w:t>
            </w:r>
          </w:p>
        </w:tc>
        <w:tc>
          <w:tcPr>
            <w:tcW w:type="dxa" w:w="15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✅</w:t>
            </w:r>
          </w:p>
        </w:tc>
        <w:tc>
          <w:tcPr>
            <w:tcW w:type="dxa" w:w="30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Weights defined per category</w:t>
            </w:r>
          </w:p>
        </w:tc>
      </w:tr>
      <w:tr>
        <w:tc>
          <w:tcPr>
            <w:tcW w:type="dxa" w:w="5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3</w:t>
            </w:r>
          </w:p>
        </w:tc>
        <w:tc>
          <w:tcPr>
            <w:tcW w:type="dxa" w:w="40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All metric-to-score conversion tables complete</w:t>
            </w:r>
          </w:p>
        </w:tc>
        <w:tc>
          <w:tcPr>
            <w:tcW w:type="dxa" w:w="15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✅</w:t>
            </w:r>
          </w:p>
        </w:tc>
        <w:tc>
          <w:tcPr>
            <w:tcW w:type="dxa" w:w="30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PSX-specific thresholds</w:t>
            </w:r>
          </w:p>
        </w:tc>
      </w:tr>
      <w:tr>
        <w:tc>
          <w:tcPr>
            <w:tcW w:type="dxa" w:w="5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4</w:t>
            </w:r>
          </w:p>
        </w:tc>
        <w:tc>
          <w:tcPr>
            <w:tcW w:type="dxa" w:w="40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PSX sector benchmark table complete</w:t>
            </w:r>
          </w:p>
        </w:tc>
        <w:tc>
          <w:tcPr>
            <w:tcW w:type="dxa" w:w="15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✅</w:t>
            </w:r>
          </w:p>
        </w:tc>
        <w:tc>
          <w:tcPr>
            <w:tcW w:type="dxa" w:w="30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14 sectors, 6 key metrics each</w:t>
            </w:r>
          </w:p>
        </w:tc>
      </w:tr>
      <w:tr>
        <w:tc>
          <w:tcPr>
            <w:tcW w:type="dxa" w:w="5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5</w:t>
            </w:r>
          </w:p>
        </w:tc>
        <w:tc>
          <w:tcPr>
            <w:tcW w:type="dxa" w:w="40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7 strategy presets with exact weight distributions</w:t>
            </w:r>
          </w:p>
        </w:tc>
        <w:tc>
          <w:tcPr>
            <w:tcW w:type="dxa" w:w="15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✅</w:t>
            </w:r>
          </w:p>
        </w:tc>
        <w:tc>
          <w:tcPr>
            <w:tcW w:type="dxa" w:w="30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All sum to 100%</w:t>
            </w:r>
          </w:p>
        </w:tc>
      </w:tr>
      <w:tr>
        <w:tc>
          <w:tcPr>
            <w:tcW w:type="dxa" w:w="5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6</w:t>
            </w:r>
          </w:p>
        </w:tc>
        <w:tc>
          <w:tcPr>
            <w:tcW w:type="dxa" w:w="40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Custom strategy rules and UI logic defined</w:t>
            </w:r>
          </w:p>
        </w:tc>
        <w:tc>
          <w:tcPr>
            <w:tcW w:type="dxa" w:w="15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✅</w:t>
            </w:r>
          </w:p>
        </w:tc>
        <w:tc>
          <w:tcPr>
            <w:tcW w:type="dxa" w:w="30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Slider constraints documented</w:t>
            </w:r>
          </w:p>
        </w:tc>
      </w:tr>
      <w:tr>
        <w:tc>
          <w:tcPr>
            <w:tcW w:type="dxa" w:w="5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7</w:t>
            </w:r>
          </w:p>
        </w:tc>
        <w:tc>
          <w:tcPr>
            <w:tcW w:type="dxa" w:w="40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Verdict labels with score bands defined</w:t>
            </w:r>
          </w:p>
        </w:tc>
        <w:tc>
          <w:tcPr>
            <w:tcW w:type="dxa" w:w="15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✅</w:t>
            </w:r>
          </w:p>
        </w:tc>
        <w:tc>
          <w:tcPr>
            <w:tcW w:type="dxa" w:w="30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5 tiers, color-coded</w:t>
            </w:r>
          </w:p>
        </w:tc>
      </w:tr>
      <w:tr>
        <w:tc>
          <w:tcPr>
            <w:tcW w:type="dxa" w:w="5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8</w:t>
            </w:r>
          </w:p>
        </w:tc>
        <w:tc>
          <w:tcPr>
            <w:tcW w:type="dxa" w:w="40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P&amp;L calculation methodology complete</w:t>
            </w:r>
          </w:p>
        </w:tc>
        <w:tc>
          <w:tcPr>
            <w:tcW w:type="dxa" w:w="15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✅</w:t>
            </w:r>
          </w:p>
        </w:tc>
        <w:tc>
          <w:tcPr>
            <w:tcW w:type="dxa" w:w="30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Percentile-based, 3 scenarios</w:t>
            </w:r>
          </w:p>
        </w:tc>
      </w:tr>
      <w:tr>
        <w:tc>
          <w:tcPr>
            <w:tcW w:type="dxa" w:w="5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9</w:t>
            </w:r>
          </w:p>
        </w:tc>
        <w:tc>
          <w:tcPr>
            <w:tcW w:type="dxa" w:w="40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P&amp;L input validation rules defined</w:t>
            </w:r>
          </w:p>
        </w:tc>
        <w:tc>
          <w:tcPr>
            <w:tcW w:type="dxa" w:w="15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✅</w:t>
            </w:r>
          </w:p>
        </w:tc>
        <w:tc>
          <w:tcPr>
            <w:tcW w:type="dxa" w:w="30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Min/max, edge cases covered</w:t>
            </w:r>
          </w:p>
        </w:tc>
      </w:tr>
      <w:tr>
        <w:tc>
          <w:tcPr>
            <w:tcW w:type="dxa" w:w="5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10</w:t>
            </w:r>
          </w:p>
        </w:tc>
        <w:tc>
          <w:tcPr>
            <w:tcW w:type="dxa" w:w="40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Thesis tracker fields and conditions defined</w:t>
            </w:r>
          </w:p>
        </w:tc>
        <w:tc>
          <w:tcPr>
            <w:tcW w:type="dxa" w:w="15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✅</w:t>
            </w:r>
          </w:p>
        </w:tc>
        <w:tc>
          <w:tcPr>
            <w:tcW w:type="dxa" w:w="30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6 metric conditions + custom</w:t>
            </w:r>
          </w:p>
        </w:tc>
      </w:tr>
      <w:tr>
        <w:tc>
          <w:tcPr>
            <w:tcW w:type="dxa" w:w="5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11</w:t>
            </w:r>
          </w:p>
        </w:tc>
        <w:tc>
          <w:tcPr>
            <w:tcW w:type="dxa" w:w="40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Thesis quarterly check logic defined</w:t>
            </w:r>
          </w:p>
        </w:tc>
        <w:tc>
          <w:tcPr>
            <w:tcW w:type="dxa" w:w="15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✅</w:t>
            </w:r>
          </w:p>
        </w:tc>
        <w:tc>
          <w:tcPr>
            <w:tcW w:type="dxa" w:w="30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Auto-trigger on new results</w:t>
            </w:r>
          </w:p>
        </w:tc>
      </w:tr>
      <w:tr>
        <w:tc>
          <w:tcPr>
            <w:tcW w:type="dxa" w:w="5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12</w:t>
            </w:r>
          </w:p>
        </w:tc>
        <w:tc>
          <w:tcPr>
            <w:tcW w:type="dxa" w:w="40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Thesis status labels and history log defined</w:t>
            </w:r>
          </w:p>
        </w:tc>
        <w:tc>
          <w:tcPr>
            <w:tcW w:type="dxa" w:w="15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✅</w:t>
            </w:r>
          </w:p>
        </w:tc>
        <w:tc>
          <w:tcPr>
            <w:tcW w:type="dxa" w:w="30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6 status types</w:t>
            </w:r>
          </w:p>
        </w:tc>
      </w:tr>
      <w:tr>
        <w:tc>
          <w:tcPr>
            <w:tcW w:type="dxa" w:w="5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13</w:t>
            </w:r>
          </w:p>
        </w:tc>
        <w:tc>
          <w:tcPr>
            <w:tcW w:type="dxa" w:w="40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Wireframe — Market Dashboard</w:t>
            </w:r>
          </w:p>
        </w:tc>
        <w:tc>
          <w:tcPr>
            <w:tcW w:type="dxa" w:w="15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✅</w:t>
            </w:r>
          </w:p>
        </w:tc>
        <w:tc>
          <w:tcPr>
            <w:tcW w:type="dxa" w:w="30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Text wireframe complete</w:t>
            </w:r>
          </w:p>
        </w:tc>
      </w:tr>
      <w:tr>
        <w:tc>
          <w:tcPr>
            <w:tcW w:type="dxa" w:w="5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14</w:t>
            </w:r>
          </w:p>
        </w:tc>
        <w:tc>
          <w:tcPr>
            <w:tcW w:type="dxa" w:w="40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Wireframe — Stock Analysis Page</w:t>
            </w:r>
          </w:p>
        </w:tc>
        <w:tc>
          <w:tcPr>
            <w:tcW w:type="dxa" w:w="15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✅</w:t>
            </w:r>
          </w:p>
        </w:tc>
        <w:tc>
          <w:tcPr>
            <w:tcW w:type="dxa" w:w="30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Text wireframe complete</w:t>
            </w:r>
          </w:p>
        </w:tc>
      </w:tr>
      <w:tr>
        <w:tc>
          <w:tcPr>
            <w:tcW w:type="dxa" w:w="5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15</w:t>
            </w:r>
          </w:p>
        </w:tc>
        <w:tc>
          <w:tcPr>
            <w:tcW w:type="dxa" w:w="40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Wireframe — Investment Advisor</w:t>
            </w:r>
          </w:p>
        </w:tc>
        <w:tc>
          <w:tcPr>
            <w:tcW w:type="dxa" w:w="15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✅</w:t>
            </w:r>
          </w:p>
        </w:tc>
        <w:tc>
          <w:tcPr>
            <w:tcW w:type="dxa" w:w="30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Text wireframe complete</w:t>
            </w:r>
          </w:p>
        </w:tc>
      </w:tr>
      <w:tr>
        <w:tc>
          <w:tcPr>
            <w:tcW w:type="dxa" w:w="5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16</w:t>
            </w:r>
          </w:p>
        </w:tc>
        <w:tc>
          <w:tcPr>
            <w:tcW w:type="dxa" w:w="40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Wireframe — Thesis &amp; P&amp;L Calculator</w:t>
            </w:r>
          </w:p>
        </w:tc>
        <w:tc>
          <w:tcPr>
            <w:tcW w:type="dxa" w:w="15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✅</w:t>
            </w:r>
          </w:p>
        </w:tc>
        <w:tc>
          <w:tcPr>
            <w:tcW w:type="dxa" w:w="30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Text wireframe complete</w:t>
            </w:r>
          </w:p>
        </w:tc>
      </w:tr>
      <w:tr>
        <w:tc>
          <w:tcPr>
            <w:tcW w:type="dxa" w:w="5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17</w:t>
            </w:r>
          </w:p>
        </w:tc>
        <w:tc>
          <w:tcPr>
            <w:tcW w:type="dxa" w:w="40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Disclaimer text drafted</w:t>
            </w:r>
          </w:p>
        </w:tc>
        <w:tc>
          <w:tcPr>
            <w:tcW w:type="dxa" w:w="15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✅</w:t>
            </w:r>
          </w:p>
        </w:tc>
        <w:tc>
          <w:tcPr>
            <w:tcW w:type="dxa" w:w="3000"/>
            <w:shd w:fill="EBF4F8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Legal-safe language ready</w:t>
            </w:r>
          </w:p>
        </w:tc>
      </w:tr>
      <w:tr>
        <w:tc>
          <w:tcPr>
            <w:tcW w:type="dxa" w:w="5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18</w:t>
            </w:r>
          </w:p>
        </w:tc>
        <w:tc>
          <w:tcPr>
            <w:tcW w:type="dxa" w:w="40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Data field requirements list complete</w:t>
            </w:r>
          </w:p>
        </w:tc>
        <w:tc>
          <w:tcPr>
            <w:tcW w:type="dxa" w:w="15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✅</w:t>
            </w:r>
          </w:p>
        </w:tc>
        <w:tc>
          <w:tcPr>
            <w:tcW w:type="dxa" w:w="3000"/>
            <w:shd w:fill="FFFFFF" w:val="clear"/>
          </w:tcPr>
          <w:p>
            <w:pPr>
              <w:spacing w:after="58" w:before="58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For M2 data infrastructure</w:t>
            </w:r>
          </w:p>
        </w:tc>
      </w:tr>
    </w:tbl>
    <w:p>
      <w:pPr>
        <w:spacing w:after="160" w:before="1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59669" w:val="clear"/>
          </w:tcPr>
          <w:p>
            <w:pPr>
              <w:spacing w:after="110" w:before="11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M1 COMPLETE — Ready to start Milestone 2: Data Infrastructure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spacing w:after="140" w:before="300"/>
      </w:pPr>
      <w:r>
        <w:rPr>
          <w:rFonts w:ascii="Calibri" w:cs="Calibri" w:eastAsia="Calibri" w:hAnsi="Calibri"/>
          <w:b/>
          <w:bCs/>
          <w:color w:val="2E86AB"/>
          <w:sz w:val="30"/>
          <w:szCs w:val="30"/>
        </w:rPr>
        <w:t xml:space="preserve">Next Steps — Milestone 2 Starts Here</w:t>
      </w:r>
    </w:p>
    <w:p>
      <w:pPr>
        <w:spacing w:after="50" w:before="50"/>
        <w:ind w:left="40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• Set up Python FastAPI project structure</w:t>
      </w:r>
    </w:p>
    <w:p>
      <w:pPr>
        <w:spacing w:after="50" w:before="50"/>
        <w:ind w:left="400"/>
      </w:pPr>
      <w:r>
        <w:rPr>
          <w:rFonts w:ascii="Calibri" w:cs="Calibri" w:eastAsia="Calibri" w:hAnsi="Calibri"/>
          <w:b w:val="false"/>
          <w:bCs w:val="false"/>
          <w:color w:val="111827"/>
          <w:sz w:val="21"/>
          <w:szCs w:val="21"/>
        </w:rPr>
        <w:t xml:space="preserve">• Build PSX website scraper — live prices, announcements</w:t>
      </w:r>
    </w:p>
    <w:p>
      <w:pPr>
        <w:spacing w:after="50" w:before="50"/>
        <w:ind w:left="400"/>
      </w:pPr>
      <w:r>
        <w:rPr>
          <w:rFonts w:ascii="Calibri" w:cs="Calibri" w:eastAsia="Calibri" w:hAnsi="Calibri"/>
          <w:b w:val="false"/>
          <w:bCs w:val="false"/>
          <w:color w:val="111827"/>
          <w:sz w:val="21"/>
          <w:szCs w:val="21"/>
        </w:rPr>
        <w:t xml:space="preserve">• Integrate yFinance for .KA tickers</w:t>
      </w:r>
    </w:p>
    <w:p>
      <w:pPr>
        <w:spacing w:after="50" w:before="50"/>
        <w:ind w:left="400"/>
      </w:pPr>
      <w:r>
        <w:rPr>
          <w:rFonts w:ascii="Calibri" w:cs="Calibri" w:eastAsia="Calibri" w:hAnsi="Calibri"/>
          <w:b w:val="false"/>
          <w:bCs w:val="false"/>
          <w:color w:val="111827"/>
          <w:sz w:val="21"/>
          <w:szCs w:val="21"/>
        </w:rPr>
        <w:t xml:space="preserve">• Build PDF parser for annual reports — pdfplumber</w:t>
      </w:r>
    </w:p>
    <w:p>
      <w:pPr>
        <w:spacing w:after="50" w:before="50"/>
        <w:ind w:left="400"/>
      </w:pPr>
      <w:r>
        <w:rPr>
          <w:rFonts w:ascii="Calibri" w:cs="Calibri" w:eastAsia="Calibri" w:hAnsi="Calibri"/>
          <w:b w:val="false"/>
          <w:bCs w:val="false"/>
          <w:color w:val="111827"/>
          <w:sz w:val="21"/>
          <w:szCs w:val="21"/>
        </w:rPr>
        <w:t xml:space="preserve">• Design Supabase database schema based on data fields in this spec</w:t>
      </w:r>
    </w:p>
    <w:p>
      <w:pPr>
        <w:spacing w:after="50" w:before="50"/>
        <w:ind w:left="400"/>
      </w:pPr>
      <w:r>
        <w:rPr>
          <w:rFonts w:ascii="Calibri" w:cs="Calibri" w:eastAsia="Calibri" w:hAnsi="Calibri"/>
          <w:b w:val="false"/>
          <w:bCs w:val="false"/>
          <w:color w:val="111827"/>
          <w:sz w:val="21"/>
          <w:szCs w:val="21"/>
        </w:rPr>
        <w:t xml:space="preserve">• Set up Upstash Redis cache layer</w:t>
      </w:r>
    </w:p>
    <w:p>
      <w:pPr>
        <w:spacing w:after="50" w:before="50"/>
        <w:ind w:left="400"/>
      </w:pPr>
      <w:r>
        <w:rPr>
          <w:rFonts w:ascii="Calibri" w:cs="Calibri" w:eastAsia="Calibri" w:hAnsi="Calibri"/>
          <w:b w:val="false"/>
          <w:bCs w:val="false"/>
          <w:color w:val="111827"/>
          <w:sz w:val="21"/>
          <w:szCs w:val="21"/>
        </w:rPr>
        <w:t xml:space="preserve">• Test with 5 stocks: OGDC, LUCK, ENGRO, HBL, TRG</w:t>
      </w:r>
    </w:p>
    <w:p>
      <w:pPr>
        <w:spacing w:after="300" w:before="30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6B7280"/>
          <w:sz w:val="16"/>
          <w:szCs w:val="16"/>
        </w:rPr>
        <w:t xml:space="preserve">StockIQ Pakistan — M1 Specification  |  NexusGrades / Saif Iqbal  |  2025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2026-08-24T11:05:20.446Z</dcterms:created>
  <dcterms:modified xsi:type="dcterms:W3CDTF">2026-08-24T11:05:20.467Z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