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6446"/>
          <w:sz w:val="18"/>
          <w:szCs w:val="18"/>
        </w:rPr>
        <w:t xml:space="preserve">NABTA  ·  نبتة</w:t>
      </w:r>
    </w:p>
    <w:p>
      <w:pPr>
        <w:pBdr>
          <w:bottom w:val="single" w:color="9C7A2F" w:sz="12"/>
        </w:pBdr>
        <w:spacing w:after="80"/>
      </w:pPr>
      <w:r>
        <w:rPr>
          <w:rFonts w:ascii="Calibri" w:cs="Calibri" w:eastAsia="Calibri" w:hAnsi="Calibri"/>
          <w:b/>
          <w:bCs/>
          <w:color w:val="16261C"/>
          <w:sz w:val="44"/>
          <w:szCs w:val="44"/>
        </w:rPr>
        <w:t xml:space="preserve">AI Verification Cost Model</w:t>
      </w:r>
    </w:p>
    <w:p>
      <w:pPr>
        <w:spacing w:after="60" w:before="160" w:line="276"/>
      </w:pPr>
      <w:r>
        <w:rPr>
          <w:rFonts w:ascii="Calibri" w:cs="Calibri" w:eastAsia="Calibri" w:hAnsi="Calibri"/>
          <w:color w:val="5C6B61"/>
          <w:sz w:val="22"/>
          <w:szCs w:val="22"/>
        </w:rPr>
        <w:t xml:space="preserve">Per-call cost, per-user economics, and monthly projections at scale</w:t>
      </w:r>
    </w:p>
    <w:p>
      <w:pPr>
        <w:spacing w:after="300" w:before="0" w:line="276"/>
      </w:pPr>
      <w:r>
        <w:rPr>
          <w:rFonts w:ascii="Calibri" w:cs="Calibri" w:eastAsia="Calibri" w:hAnsi="Calibri"/>
          <w:color w:val="5C6B61"/>
          <w:sz w:val="17"/>
          <w:szCs w:val="17"/>
        </w:rPr>
        <w:t xml:space="preserve">Prepared 13 August 2026  ·  Prototype-stage estimate  ·  Figures in USD unless marked AED</w:t>
      </w:r>
    </w:p>
    <w:p>
      <w:pPr>
        <w:pStyle w:val="Heading1"/>
        <w:spacing w:after="160" w:before="360"/>
      </w:pPr>
      <w:r>
        <w:rPr>
          <w:rFonts w:ascii="Calibri" w:cs="Calibri" w:eastAsia="Calibri" w:hAnsi="Calibri"/>
          <w:b/>
          <w:bCs/>
          <w:color w:val="0E6446"/>
          <w:sz w:val="30"/>
          <w:szCs w:val="30"/>
        </w:rPr>
        <w:t xml:space="preserve">Summary</w:t>
      </w:r>
    </w:p>
    <w:p>
      <w:pPr>
        <w:spacing w:after="120" w:before="0" w:line="276"/>
      </w:pPr>
      <w:r>
        <w:rPr>
          <w:rFonts w:ascii="Calibri" w:cs="Calibri" w:eastAsia="Calibri" w:hAnsi="Calibri"/>
          <w:color w:val="16261C"/>
          <w:sz w:val="21"/>
          <w:szCs w:val="21"/>
        </w:rPr>
        <w:t xml:space="preserve">Nabta verifies planting activity by sending a photograph to a vision model, which identifies the species, scores plant health, screens for duplicate submissions, and releases points. This document estimates what that costs to run.</w:t>
      </w:r>
    </w:p>
    <w:p>
      <w:pPr>
        <w:spacing w:after="120" w:before="0" w:line="276"/>
      </w:pPr>
      <w:r>
        <w:rPr>
          <w:rFonts w:ascii="Calibri" w:cs="Calibri" w:eastAsia="Calibri" w:hAnsi="Calibri"/>
          <w:color w:val="16261C"/>
          <w:sz w:val="21"/>
          <w:szCs w:val="21"/>
        </w:rPr>
        <w:t xml:space="preserve">Three findings drive the conclusion. Verification itself is cheap: under one US cent per log on a two-tier model routing. The cost scales linearly and predictably with active users, reaching roughly $5,800 per month at 100,000 monthly active users. And the AI is not the platform's expensive component — reward liability outweighs it by a factor of roughly 35 to 70, depending on redemption rate.</w:t>
      </w:r>
    </w:p>
    <w:p>
      <w:pPr>
        <w:spacing w:after="140"/>
      </w:pPr>
      <w:r>
        <w:t xml:space="preserve"/>
      </w:r>
    </w:p>
    <w:tbl>
      <w:tblPr>
        <w:tblW w:type="dxa" w:w="9020"/>
        <w:tblBorders>
          <w:top w:val="none" w:color="FFFFFF" w:sz="0"/>
          <w:left w:val="single" w:color="9C7A2F" w:sz="18"/>
          <w:bottom w:val="none" w:color="FFFFFF" w:sz="0"/>
          <w:right w:val="none" w:color="FFFFFF" w:sz="0"/>
          <w:insideH w:val="none" w:color="FFFFFF" w:sz="0"/>
          <w:insideV w:val="none" w:color="FFFFFF" w:sz="0"/>
        </w:tblBorders>
      </w:tblPr>
      <w:tblGrid>
        <w:gridCol w:w="9020"/>
      </w:tblGrid>
      <w:tr>
        <w:tc>
          <w:tcPr>
            <w:tcW w:type="dxa" w:w="9020"/>
            <w:shd w:fill="FBF4E3" w:color="auto" w:val="clear"/>
            <w:tcMar>
              <w:top w:type="dxa" w:w="160"/>
              <w:left w:type="dxa" w:w="220"/>
              <w:bottom w:type="dxa" w:w="160"/>
              <w:right w:type="dxa" w:w="200"/>
            </w:tcMar>
          </w:tcPr>
          <w:p>
            <w:pPr>
              <w:spacing w:after="110" w:line="276"/>
            </w:pPr>
            <w:r>
              <w:rPr>
                <w:rFonts w:ascii="Calibri" w:cs="Calibri" w:eastAsia="Calibri" w:hAnsi="Calibri"/>
                <w:b/>
                <w:bCs/>
                <w:color w:val="16261C"/>
                <w:sz w:val="22"/>
                <w:szCs w:val="22"/>
              </w:rPr>
              <w:t xml:space="preserve">The decision that matters is not model choice.</w:t>
            </w:r>
          </w:p>
          <w:p>
            <w:pPr>
              <w:spacing w:after="0" w:line="276"/>
            </w:pPr>
            <w:r>
              <w:rPr>
                <w:rFonts w:ascii="Calibri" w:cs="Calibri" w:eastAsia="Calibri" w:hAnsi="Calibri"/>
                <w:color w:val="16261C"/>
                <w:sz w:val="21"/>
                <w:szCs w:val="21"/>
              </w:rPr>
              <w:t xml:space="preserve">Moving from the cheapest model to the most capable changes monthly cost by about $14,000 at 100,000 users. Changing the points-to-reward exchange rate by ten percent changes it by roughly AED 78,000 — about twenty times as much. Model selection should be made on verification accuracy; the budget is governed by the rewards catalogue.</w:t>
            </w:r>
          </w:p>
        </w:tc>
      </w:tr>
    </w:tbl>
    <w:p>
      <w:pPr>
        <w:spacing w:after="240"/>
      </w:pPr>
      <w:r>
        <w:t xml:space="preserve"/>
      </w:r>
    </w:p>
    <w:p>
      <w:pPr>
        <w:pStyle w:val="Heading1"/>
        <w:spacing w:after="160" w:before="360"/>
      </w:pPr>
      <w:r>
        <w:rPr>
          <w:rFonts w:ascii="Calibri" w:cs="Calibri" w:eastAsia="Calibri" w:hAnsi="Calibri"/>
          <w:b/>
          <w:bCs/>
          <w:color w:val="0E6446"/>
          <w:sz w:val="30"/>
          <w:szCs w:val="30"/>
        </w:rPr>
        <w:t xml:space="preserve">Method and assumptions</w:t>
      </w:r>
    </w:p>
    <w:p>
      <w:pPr>
        <w:spacing w:after="120" w:before="0" w:line="276"/>
      </w:pPr>
      <w:r>
        <w:rPr>
          <w:rFonts w:ascii="Calibri" w:cs="Calibri" w:eastAsia="Calibri" w:hAnsi="Calibri"/>
          <w:color w:val="16261C"/>
          <w:sz w:val="21"/>
          <w:szCs w:val="21"/>
        </w:rPr>
        <w:t xml:space="preserve">Costs are built from published Anthropic API rates as of June 2026. Token counts are modelled from the prototype's verification flow, not measured against live traffic — see Verification and caveats on the final page.</w:t>
      </w:r>
    </w:p>
    <w:p>
      <w:pPr>
        <w:pStyle w:val="Heading2"/>
        <w:spacing w:after="120" w:before="260"/>
      </w:pPr>
      <w:r>
        <w:rPr>
          <w:rFonts w:ascii="Calibri" w:cs="Calibri" w:eastAsia="Calibri" w:hAnsi="Calibri"/>
          <w:b/>
          <w:bCs/>
          <w:color w:val="16261C"/>
          <w:sz w:val="24"/>
          <w:szCs w:val="24"/>
        </w:rPr>
        <w:t xml:space="preserve">Pricing inputs</w:t>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3200"/>
        <w:gridCol w:w="1940"/>
        <w:gridCol w:w="1940"/>
        <w:gridCol w:w="1940"/>
      </w:tblGrid>
      <w:tr>
        <w:trPr>
          <w:tblHeader/>
        </w:trPr>
        <w:tc>
          <w:tcPr>
            <w:tcW w:type="dxa" w:w="320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Model</w:t>
            </w:r>
          </w:p>
        </w:tc>
        <w:tc>
          <w:tcPr>
            <w:tcW w:type="dxa" w:w="19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Input $/M</w:t>
            </w:r>
          </w:p>
        </w:tc>
        <w:tc>
          <w:tcPr>
            <w:tcW w:type="dxa" w:w="19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Output $/M</w:t>
            </w:r>
          </w:p>
        </w:tc>
        <w:tc>
          <w:tcPr>
            <w:tcW w:type="dxa" w:w="19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Cache read $/M</w:t>
            </w:r>
          </w:p>
        </w:tc>
      </w:tr>
      <w:tr>
        <w:tc>
          <w:tcPr>
            <w:tcW w:type="dxa" w:w="320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Haiku 4.5</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$1.00</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$5.00</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$0.10</w:t>
            </w:r>
          </w:p>
        </w:tc>
      </w:tr>
      <w:tr>
        <w:tc>
          <w:tcPr>
            <w:tcW w:type="dxa" w:w="3200"/>
            <w:shd w:fill="F3EFE5" w:color="auto" w:val="clear"/>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Sonnet 5</w:t>
            </w:r>
          </w:p>
        </w:tc>
        <w:tc>
          <w:tcPr>
            <w:tcW w:type="dxa" w:w="19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$3.00</w:t>
            </w:r>
          </w:p>
        </w:tc>
        <w:tc>
          <w:tcPr>
            <w:tcW w:type="dxa" w:w="19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$15.00</w:t>
            </w:r>
          </w:p>
        </w:tc>
        <w:tc>
          <w:tcPr>
            <w:tcW w:type="dxa" w:w="19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$0.30</w:t>
            </w:r>
          </w:p>
        </w:tc>
      </w:tr>
      <w:tr>
        <w:tc>
          <w:tcPr>
            <w:tcW w:type="dxa" w:w="320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Opus 5</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$5.00</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$25.00</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$0.50</w:t>
            </w:r>
          </w:p>
        </w:tc>
      </w:tr>
    </w:tbl>
    <w:p>
      <w:pPr>
        <w:spacing w:after="200" w:before="120" w:line="276"/>
      </w:pPr>
      <w:r>
        <w:rPr>
          <w:rFonts w:ascii="Calibri" w:cs="Calibri" w:eastAsia="Calibri" w:hAnsi="Calibri"/>
          <w:color w:val="5C6B61"/>
          <w:sz w:val="18"/>
          <w:szCs w:val="18"/>
        </w:rPr>
        <w:t xml:space="preserve">Cache reads bill at 0.1× the input rate; cache writes at 1.25× for the five-minute TTL. Sonnet 5 carries an introductory rate of $2.00 / $10.00 per million through 31 August 2026, which is not assumed here. Currency conversion uses the pegged rate of 1 USD = 3.6725 AED.</w:t>
      </w:r>
    </w:p>
    <w:p>
      <w:pPr>
        <w:pStyle w:val="Heading2"/>
        <w:spacing w:after="120" w:before="260"/>
      </w:pPr>
      <w:r>
        <w:rPr>
          <w:rFonts w:ascii="Calibri" w:cs="Calibri" w:eastAsia="Calibri" w:hAnsi="Calibri"/>
          <w:b/>
          <w:bCs/>
          <w:color w:val="16261C"/>
          <w:sz w:val="24"/>
          <w:szCs w:val="24"/>
        </w:rPr>
        <w:t xml:space="preserve">Usage model</w:t>
      </w:r>
    </w:p>
    <w:p>
      <w:pPr>
        <w:spacing w:after="120" w:before="0" w:line="276"/>
      </w:pPr>
      <w:r>
        <w:rPr>
          <w:rFonts w:ascii="Calibri" w:cs="Calibri" w:eastAsia="Calibri" w:hAnsi="Calibri"/>
          <w:color w:val="16261C"/>
          <w:sz w:val="21"/>
          <w:szCs w:val="21"/>
        </w:rPr>
        <w:t xml:space="preserve">The platform's streak mechanic rewards daily logging, which concentrates volume among a committed minority. The blended figure below assumes a realistic engagement curve:</w:t>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3200"/>
        <w:gridCol w:w="1940"/>
        <w:gridCol w:w="1940"/>
        <w:gridCol w:w="1940"/>
      </w:tblGrid>
      <w:tr>
        <w:trPr>
          <w:tblHeader/>
        </w:trPr>
        <w:tc>
          <w:tcPr>
            <w:tcW w:type="dxa" w:w="320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Segment</w:t>
            </w:r>
          </w:p>
        </w:tc>
        <w:tc>
          <w:tcPr>
            <w:tcW w:type="dxa" w:w="19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Share of users</w:t>
            </w:r>
          </w:p>
        </w:tc>
        <w:tc>
          <w:tcPr>
            <w:tcW w:type="dxa" w:w="19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Logs / month</w:t>
            </w:r>
          </w:p>
        </w:tc>
        <w:tc>
          <w:tcPr>
            <w:tcW w:type="dxa" w:w="19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Contribution</w:t>
            </w:r>
          </w:p>
        </w:tc>
      </w:tr>
      <w:tr>
        <w:tc>
          <w:tcPr>
            <w:tcW w:type="dxa" w:w="320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Power growers</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10%</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25</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2.5</w:t>
            </w:r>
          </w:p>
        </w:tc>
      </w:tr>
      <w:tr>
        <w:tc>
          <w:tcPr>
            <w:tcW w:type="dxa" w:w="3200"/>
            <w:shd w:fill="F3EFE5" w:color="auto" w:val="clear"/>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Regular growers</w:t>
            </w:r>
          </w:p>
        </w:tc>
        <w:tc>
          <w:tcPr>
            <w:tcW w:type="dxa" w:w="19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30%</w:t>
            </w:r>
          </w:p>
        </w:tc>
        <w:tc>
          <w:tcPr>
            <w:tcW w:type="dxa" w:w="19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10</w:t>
            </w:r>
          </w:p>
        </w:tc>
        <w:tc>
          <w:tcPr>
            <w:tcW w:type="dxa" w:w="19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3.0</w:t>
            </w:r>
          </w:p>
        </w:tc>
      </w:tr>
      <w:tr>
        <w:tc>
          <w:tcPr>
            <w:tcW w:type="dxa" w:w="320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Casual growers</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60%</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w:t>
            </w:r>
          </w:p>
        </w:tc>
        <w:tc>
          <w:tcPr>
            <w:tcW w:type="dxa" w:w="19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1.8</w:t>
            </w:r>
          </w:p>
        </w:tc>
      </w:tr>
      <w:tr>
        <w:tc>
          <w:tcPr>
            <w:tcW w:type="dxa" w:w="3200"/>
            <w:shd w:fill="FBF4E3" w:color="auto" w:val="clear"/>
            <w:tcMar>
              <w:top w:type="dxa" w:w="90"/>
              <w:left w:type="dxa" w:w="130"/>
              <w:bottom w:type="dxa" w:w="90"/>
              <w:right w:type="dxa" w:w="130"/>
            </w:tcMar>
          </w:tcPr>
          <w:p>
            <w:pPr>
              <w:spacing w:after="0" w:line="260"/>
              <w:jc w:val="left"/>
            </w:pPr>
            <w:r>
              <w:rPr>
                <w:rFonts w:ascii="Calibri" w:cs="Calibri" w:eastAsia="Calibri" w:hAnsi="Calibri"/>
                <w:b/>
                <w:bCs/>
                <w:color w:val="9C7A2F"/>
                <w:sz w:val="20"/>
                <w:szCs w:val="20"/>
              </w:rPr>
              <w:t xml:space="preserve">Blended average</w:t>
            </w:r>
          </w:p>
        </w:tc>
        <w:tc>
          <w:tcPr>
            <w:tcW w:type="dxa" w:w="194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100%</w:t>
            </w:r>
          </w:p>
        </w:tc>
        <w:tc>
          <w:tcPr>
            <w:tcW w:type="dxa" w:w="194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w:t>
            </w:r>
          </w:p>
        </w:tc>
        <w:tc>
          <w:tcPr>
            <w:tcW w:type="dxa" w:w="194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7.3</w:t>
            </w:r>
          </w:p>
        </w:tc>
      </w:tr>
    </w:tbl>
    <w:p>
      <w:pPr>
        <w:spacing w:after="200" w:before="120" w:line="276"/>
      </w:pPr>
      <w:r>
        <w:rPr>
          <w:rFonts w:ascii="Calibri" w:cs="Calibri" w:eastAsia="Calibri" w:hAnsi="Calibri"/>
          <w:color w:val="5C6B61"/>
          <w:sz w:val="18"/>
          <w:szCs w:val="18"/>
        </w:rPr>
        <w:t xml:space="preserve">All per-user figures in this document assume 7 verifications per active user per month.</w:t>
      </w:r>
    </w:p>
    <w:p>
      <w:r>
        <w:br w:type="page"/>
      </w:r>
    </w:p>
    <w:p>
      <w:pPr>
        <w:pStyle w:val="Heading1"/>
        <w:spacing w:after="160" w:before="360"/>
      </w:pPr>
      <w:r>
        <w:rPr>
          <w:rFonts w:ascii="Calibri" w:cs="Calibri" w:eastAsia="Calibri" w:hAnsi="Calibri"/>
          <w:b/>
          <w:bCs/>
          <w:color w:val="0E6446"/>
          <w:sz w:val="30"/>
          <w:szCs w:val="30"/>
        </w:rPr>
        <w:t xml:space="preserve">Cost per verification</w:t>
      </w:r>
    </w:p>
    <w:p>
      <w:pPr>
        <w:spacing w:after="120" w:before="0" w:line="276"/>
      </w:pPr>
      <w:r>
        <w:rPr>
          <w:rFonts w:ascii="Calibri" w:cs="Calibri" w:eastAsia="Calibri" w:hAnsi="Calibri"/>
          <w:color w:val="16261C"/>
          <w:sz w:val="21"/>
          <w:szCs w:val="21"/>
        </w:rPr>
        <w:t xml:space="preserve">A single verification sends one photograph plus context and receives a structured JSON verdict. The token profile:</w:t>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5340"/>
        <w:gridCol w:w="1840"/>
        <w:gridCol w:w="1840"/>
      </w:tblGrid>
      <w:tr>
        <w:trPr>
          <w:tblHeader/>
        </w:trPr>
        <w:tc>
          <w:tcPr>
            <w:tcW w:type="dxa" w:w="534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Component</w:t>
            </w:r>
          </w:p>
        </w:tc>
        <w:tc>
          <w:tcPr>
            <w:tcW w:type="dxa" w:w="18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Tokens</w:t>
            </w:r>
          </w:p>
        </w:tc>
        <w:tc>
          <w:tcPr>
            <w:tcW w:type="dxa" w:w="184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Cacheable</w:t>
            </w:r>
          </w:p>
        </w:tc>
      </w:tr>
      <w:tr>
        <w:tc>
          <w:tcPr>
            <w:tcW w:type="dxa" w:w="534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System prompt — rubric, species index, output schema</w:t>
            </w:r>
          </w:p>
        </w:tc>
        <w:tc>
          <w:tcPr>
            <w:tcW w:type="dxa" w:w="18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1,500</w:t>
            </w:r>
          </w:p>
        </w:tc>
        <w:tc>
          <w:tcPr>
            <w:tcW w:type="dxa" w:w="18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Yes</w:t>
            </w:r>
          </w:p>
        </w:tc>
      </w:tr>
      <w:tr>
        <w:tc>
          <w:tcPr>
            <w:tcW w:type="dxa" w:w="5340"/>
            <w:shd w:fill="F3EFE5" w:color="auto" w:val="clear"/>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Image — downscaled to 1024px long edge</w:t>
            </w:r>
          </w:p>
        </w:tc>
        <w:tc>
          <w:tcPr>
            <w:tcW w:type="dxa" w:w="18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1,200</w:t>
            </w:r>
          </w:p>
        </w:tc>
        <w:tc>
          <w:tcPr>
            <w:tcW w:type="dxa" w:w="184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No</w:t>
            </w:r>
          </w:p>
        </w:tc>
      </w:tr>
      <w:tr>
        <w:tc>
          <w:tcPr>
            <w:tcW w:type="dxa" w:w="534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Per-call context — declared action, history, geolocation</w:t>
            </w:r>
          </w:p>
        </w:tc>
        <w:tc>
          <w:tcPr>
            <w:tcW w:type="dxa" w:w="18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300</w:t>
            </w:r>
          </w:p>
        </w:tc>
        <w:tc>
          <w:tcPr>
            <w:tcW w:type="dxa" w:w="18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No</w:t>
            </w:r>
          </w:p>
        </w:tc>
      </w:tr>
      <w:tr>
        <w:tc>
          <w:tcPr>
            <w:tcW w:type="dxa" w:w="5340"/>
            <w:shd w:fill="FBF4E3" w:color="auto" w:val="clear"/>
            <w:tcMar>
              <w:top w:type="dxa" w:w="90"/>
              <w:left w:type="dxa" w:w="130"/>
              <w:bottom w:type="dxa" w:w="90"/>
              <w:right w:type="dxa" w:w="130"/>
            </w:tcMar>
          </w:tcPr>
          <w:p>
            <w:pPr>
              <w:spacing w:after="0" w:line="260"/>
              <w:jc w:val="left"/>
            </w:pPr>
            <w:r>
              <w:rPr>
                <w:rFonts w:ascii="Calibri" w:cs="Calibri" w:eastAsia="Calibri" w:hAnsi="Calibri"/>
                <w:b/>
                <w:bCs/>
                <w:color w:val="9C7A2F"/>
                <w:sz w:val="20"/>
                <w:szCs w:val="20"/>
              </w:rPr>
              <w:t xml:space="preserve">Input total</w:t>
            </w:r>
          </w:p>
        </w:tc>
        <w:tc>
          <w:tcPr>
            <w:tcW w:type="dxa" w:w="184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3,000</w:t>
            </w:r>
          </w:p>
        </w:tc>
        <w:tc>
          <w:tcPr>
            <w:tcW w:type="dxa" w:w="184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w:t>
            </w:r>
          </w:p>
        </w:tc>
      </w:tr>
      <w:tr>
        <w:tc>
          <w:tcPr>
            <w:tcW w:type="dxa" w:w="534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Output — verdict JSON plus low-effort thinking</w:t>
            </w:r>
          </w:p>
        </w:tc>
        <w:tc>
          <w:tcPr>
            <w:tcW w:type="dxa" w:w="18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700</w:t>
            </w:r>
          </w:p>
        </w:tc>
        <w:tc>
          <w:tcPr>
            <w:tcW w:type="dxa" w:w="184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w:t>
            </w:r>
          </w:p>
        </w:tc>
      </w:tr>
    </w:tbl>
    <w:p>
      <w:pPr>
        <w:spacing w:after="180"/>
      </w:pPr>
      <w:r>
        <w:t xml:space="preserve"/>
      </w:r>
    </w:p>
    <w:p>
      <w:pPr>
        <w:spacing w:after="120" w:before="0" w:line="276"/>
      </w:pPr>
      <w:r>
        <w:rPr>
          <w:rFonts w:ascii="Calibri" w:cs="Calibri" w:eastAsia="Calibri" w:hAnsi="Calibri"/>
          <w:color w:val="16261C"/>
          <w:sz w:val="21"/>
          <w:szCs w:val="21"/>
        </w:rPr>
        <w:t xml:space="preserve">Applying the published rates, with the system prompt served from cache after the first call:</w:t>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3620"/>
        <w:gridCol w:w="1800"/>
        <w:gridCol w:w="1800"/>
        <w:gridCol w:w="1800"/>
      </w:tblGrid>
      <w:tr>
        <w:trPr>
          <w:tblHeader/>
        </w:trPr>
        <w:tc>
          <w:tcPr>
            <w:tcW w:type="dxa" w:w="362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Model</w:t>
            </w:r>
          </w:p>
        </w:tc>
        <w:tc>
          <w:tcPr>
            <w:tcW w:type="dxa" w:w="18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No caching</w:t>
            </w:r>
          </w:p>
        </w:tc>
        <w:tc>
          <w:tcPr>
            <w:tcW w:type="dxa" w:w="18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With caching</w:t>
            </w:r>
          </w:p>
        </w:tc>
        <w:tc>
          <w:tcPr>
            <w:tcW w:type="dxa" w:w="18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Per 1,000 calls</w:t>
            </w:r>
          </w:p>
        </w:tc>
      </w:tr>
      <w:tr>
        <w:tc>
          <w:tcPr>
            <w:tcW w:type="dxa" w:w="362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Haiku 4.5</w:t>
            </w:r>
          </w:p>
        </w:tc>
        <w:tc>
          <w:tcPr>
            <w:tcW w:type="dxa" w:w="18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$0.0065</w:t>
            </w:r>
          </w:p>
        </w:tc>
        <w:tc>
          <w:tcPr>
            <w:tcW w:type="dxa" w:w="18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$0.0052</w:t>
            </w:r>
          </w:p>
        </w:tc>
        <w:tc>
          <w:tcPr>
            <w:tcW w:type="dxa" w:w="18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$5.15</w:t>
            </w:r>
          </w:p>
        </w:tc>
      </w:tr>
      <w:tr>
        <w:tc>
          <w:tcPr>
            <w:tcW w:type="dxa" w:w="3620"/>
            <w:shd w:fill="FBF4E3" w:color="auto" w:val="clear"/>
            <w:tcMar>
              <w:top w:type="dxa" w:w="90"/>
              <w:left w:type="dxa" w:w="130"/>
              <w:bottom w:type="dxa" w:w="90"/>
              <w:right w:type="dxa" w:w="130"/>
            </w:tcMar>
          </w:tcPr>
          <w:p>
            <w:pPr>
              <w:spacing w:after="0" w:line="260"/>
              <w:jc w:val="left"/>
            </w:pPr>
            <w:r>
              <w:rPr>
                <w:rFonts w:ascii="Calibri" w:cs="Calibri" w:eastAsia="Calibri" w:hAnsi="Calibri"/>
                <w:b/>
                <w:bCs/>
                <w:color w:val="9C7A2F"/>
                <w:sz w:val="20"/>
                <w:szCs w:val="20"/>
              </w:rPr>
              <w:t xml:space="preserve">Two-tier routing (recommended)</w:t>
            </w:r>
          </w:p>
        </w:tc>
        <w:tc>
          <w:tcPr>
            <w:tcW w:type="dxa" w:w="18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$0.0104</w:t>
            </w:r>
          </w:p>
        </w:tc>
        <w:tc>
          <w:tcPr>
            <w:tcW w:type="dxa" w:w="18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$0.0082</w:t>
            </w:r>
          </w:p>
        </w:tc>
        <w:tc>
          <w:tcPr>
            <w:tcW w:type="dxa" w:w="18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$8.24</w:t>
            </w:r>
          </w:p>
        </w:tc>
      </w:tr>
      <w:tr>
        <w:tc>
          <w:tcPr>
            <w:tcW w:type="dxa" w:w="362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Sonnet 5</w:t>
            </w:r>
          </w:p>
        </w:tc>
        <w:tc>
          <w:tcPr>
            <w:tcW w:type="dxa" w:w="18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$0.0195</w:t>
            </w:r>
          </w:p>
        </w:tc>
        <w:tc>
          <w:tcPr>
            <w:tcW w:type="dxa" w:w="18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$0.0155</w:t>
            </w:r>
          </w:p>
        </w:tc>
        <w:tc>
          <w:tcPr>
            <w:tcW w:type="dxa" w:w="18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$15.45</w:t>
            </w:r>
          </w:p>
        </w:tc>
      </w:tr>
      <w:tr>
        <w:tc>
          <w:tcPr>
            <w:tcW w:type="dxa" w:w="3620"/>
            <w:shd w:fill="F3EFE5" w:color="auto" w:val="clear"/>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Opus 5</w:t>
            </w:r>
          </w:p>
        </w:tc>
        <w:tc>
          <w:tcPr>
            <w:tcW w:type="dxa" w:w="180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$0.0325</w:t>
            </w:r>
          </w:p>
        </w:tc>
        <w:tc>
          <w:tcPr>
            <w:tcW w:type="dxa" w:w="180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$0.0258</w:t>
            </w:r>
          </w:p>
        </w:tc>
        <w:tc>
          <w:tcPr>
            <w:tcW w:type="dxa" w:w="180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$25.75</w:t>
            </w:r>
          </w:p>
        </w:tc>
      </w:tr>
    </w:tbl>
    <w:p>
      <w:pPr>
        <w:spacing w:after="200"/>
      </w:pPr>
      <w:r>
        <w:t xml:space="preserve"/>
      </w:r>
    </w:p>
    <w:tbl>
      <w:tblPr>
        <w:tblW w:type="dxa" w:w="9020"/>
        <w:tblBorders>
          <w:top w:val="none" w:color="FFFFFF" w:sz="0"/>
          <w:left w:val="single" w:color="0E6446" w:sz="18"/>
          <w:bottom w:val="none" w:color="FFFFFF" w:sz="0"/>
          <w:right w:val="none" w:color="FFFFFF" w:sz="0"/>
          <w:insideH w:val="none" w:color="FFFFFF" w:sz="0"/>
          <w:insideV w:val="none" w:color="FFFFFF" w:sz="0"/>
        </w:tblBorders>
      </w:tblPr>
      <w:tblGrid>
        <w:gridCol w:w="9020"/>
      </w:tblGrid>
      <w:tr>
        <w:tc>
          <w:tcPr>
            <w:tcW w:type="dxa" w:w="9020"/>
            <w:shd w:fill="EAF5EF" w:color="auto" w:val="clear"/>
            <w:tcMar>
              <w:top w:type="dxa" w:w="160"/>
              <w:left w:type="dxa" w:w="220"/>
              <w:bottom w:type="dxa" w:w="160"/>
              <w:right w:type="dxa" w:w="200"/>
            </w:tcMar>
          </w:tcPr>
          <w:p>
            <w:pPr>
              <w:spacing w:after="0" w:line="276"/>
            </w:pPr>
            <w:r>
              <w:rPr>
                <w:rFonts w:ascii="Calibri" w:cs="Calibri" w:eastAsia="Calibri" w:hAnsi="Calibri"/>
                <w:b/>
                <w:bCs/>
                <w:color w:val="16261C"/>
                <w:sz w:val="21"/>
                <w:szCs w:val="21"/>
              </w:rPr>
              <w:t xml:space="preserve">Why prompt caching saves less than expected. </w:t>
            </w:r>
            <w:r>
              <w:rPr>
                <w:rFonts w:ascii="Calibri" w:cs="Calibri" w:eastAsia="Calibri" w:hAnsi="Calibri"/>
                <w:color w:val="16261C"/>
                <w:sz w:val="21"/>
                <w:szCs w:val="21"/>
              </w:rPr>
              <w:t xml:space="preserve">Caching cuts input cost by roughly 90% on the cached span, but output tokens are billed in full regardless — and output is over half the cost of a verification. The overall saving is about 20%. Keeping the verdict JSON terse is the more effective lever than caching alone.</w:t>
            </w:r>
          </w:p>
        </w:tc>
      </w:tr>
    </w:tbl>
    <w:p>
      <w:pPr>
        <w:spacing w:after="220"/>
      </w:pPr>
      <w:r>
        <w:t xml:space="preserve"/>
      </w:r>
    </w:p>
    <w:p>
      <w:pPr>
        <w:pStyle w:val="Heading2"/>
        <w:spacing w:after="120" w:before="260"/>
      </w:pPr>
      <w:r>
        <w:rPr>
          <w:rFonts w:ascii="Calibri" w:cs="Calibri" w:eastAsia="Calibri" w:hAnsi="Calibri"/>
          <w:b/>
          <w:bCs/>
          <w:color w:val="16261C"/>
          <w:sz w:val="24"/>
          <w:szCs w:val="24"/>
        </w:rPr>
        <w:t xml:space="preserve">Two-tier routing</w:t>
      </w:r>
    </w:p>
    <w:p>
      <w:pPr>
        <w:spacing w:after="120" w:before="0" w:line="276"/>
      </w:pPr>
      <w:r>
        <w:rPr>
          <w:rFonts w:ascii="Calibri" w:cs="Calibri" w:eastAsia="Calibri" w:hAnsi="Calibri"/>
          <w:color w:val="16261C"/>
          <w:sz w:val="21"/>
          <w:szCs w:val="21"/>
        </w:rPr>
        <w:t xml:space="preserve">The recommended configuration routes by the value of the log rather than sending everything to one model:</w:t>
      </w:r>
    </w:p>
    <w:p>
      <w:pPr>
        <w:pStyle w:val="ListParagraph"/>
        <w:numPr>
          <w:ilvl w:val="0"/>
          <w:numId w:val="2"/>
        </w:numPr>
        <w:spacing w:after="80" w:line="276"/>
      </w:pPr>
      <w:r>
        <w:rPr>
          <w:rFonts w:ascii="Calibri" w:cs="Calibri" w:eastAsia="Calibri" w:hAnsi="Calibri"/>
          <w:color w:val="16261C"/>
          <w:sz w:val="21"/>
          <w:szCs w:val="21"/>
        </w:rPr>
        <w:t xml:space="preserve">Claude Haiku 4.5 handles routine high-volume logs — watering and pruning — which are roughly 70% of traffic and carry the lowest point values.</w:t>
      </w:r>
    </w:p>
    <w:p>
      <w:pPr>
        <w:pStyle w:val="ListParagraph"/>
        <w:numPr>
          <w:ilvl w:val="0"/>
          <w:numId w:val="2"/>
        </w:numPr>
        <w:spacing w:after="80" w:line="276"/>
      </w:pPr>
      <w:r>
        <w:rPr>
          <w:rFonts w:ascii="Calibri" w:cs="Calibri" w:eastAsia="Calibri" w:hAnsi="Calibri"/>
          <w:color w:val="16261C"/>
          <w:sz w:val="21"/>
          <w:szCs w:val="21"/>
        </w:rPr>
        <w:t xml:space="preserve">Claude Sonnet 5 handles high-value logs — new plantings, harvests, native species — and any submission Haiku returns below the confidence threshold.</w:t>
      </w:r>
    </w:p>
    <w:p>
      <w:pPr>
        <w:spacing w:after="120" w:before="120" w:line="276"/>
      </w:pPr>
      <w:r>
        <w:rPr>
          <w:rFonts w:ascii="Calibri" w:cs="Calibri" w:eastAsia="Calibri" w:hAnsi="Calibri"/>
          <w:color w:val="16261C"/>
          <w:sz w:val="21"/>
          <w:szCs w:val="21"/>
        </w:rPr>
        <w:t xml:space="preserve">This blends to $0.0082 per verification: 37% cheaper than routing everything through Sonnet 5, while keeping the stronger model on the submissions where a wrong verdict costs the most in points and credibility.</w:t>
      </w:r>
    </w:p>
    <w:p>
      <w:r>
        <w:br w:type="page"/>
      </w:r>
    </w:p>
    <w:p>
      <w:pPr>
        <w:pStyle w:val="Heading1"/>
        <w:spacing w:after="160" w:before="360"/>
      </w:pPr>
      <w:r>
        <w:rPr>
          <w:rFonts w:ascii="Calibri" w:cs="Calibri" w:eastAsia="Calibri" w:hAnsi="Calibri"/>
          <w:b/>
          <w:bCs/>
          <w:color w:val="0E6446"/>
          <w:sz w:val="30"/>
          <w:szCs w:val="30"/>
        </w:rPr>
        <w:t xml:space="preserve">Cost per user</w:t>
      </w:r>
    </w:p>
    <w:p>
      <w:pPr>
        <w:spacing w:after="120" w:before="0" w:line="276"/>
      </w:pPr>
      <w:r>
        <w:rPr>
          <w:rFonts w:ascii="Calibri" w:cs="Calibri" w:eastAsia="Calibri" w:hAnsi="Calibri"/>
          <w:color w:val="16261C"/>
          <w:sz w:val="21"/>
          <w:szCs w:val="21"/>
        </w:rPr>
        <w:t xml:space="preserve">At 7 verifications per active user per month:</w:t>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4220"/>
        <w:gridCol w:w="2400"/>
        <w:gridCol w:w="2400"/>
      </w:tblGrid>
      <w:tr>
        <w:trPr>
          <w:tblHeader/>
        </w:trPr>
        <w:tc>
          <w:tcPr>
            <w:tcW w:type="dxa" w:w="422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Model</w:t>
            </w:r>
          </w:p>
        </w:tc>
        <w:tc>
          <w:tcPr>
            <w:tcW w:type="dxa" w:w="24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Per user / month</w:t>
            </w:r>
          </w:p>
        </w:tc>
        <w:tc>
          <w:tcPr>
            <w:tcW w:type="dxa" w:w="24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Per user / year</w:t>
            </w:r>
          </w:p>
        </w:tc>
      </w:tr>
      <w:tr>
        <w:tc>
          <w:tcPr>
            <w:tcW w:type="dxa" w:w="422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Haiku 4.5</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$0.036</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$0.43</w:t>
            </w:r>
          </w:p>
        </w:tc>
      </w:tr>
      <w:tr>
        <w:tc>
          <w:tcPr>
            <w:tcW w:type="dxa" w:w="4220"/>
            <w:shd w:fill="FBF4E3" w:color="auto" w:val="clear"/>
            <w:tcMar>
              <w:top w:type="dxa" w:w="90"/>
              <w:left w:type="dxa" w:w="130"/>
              <w:bottom w:type="dxa" w:w="90"/>
              <w:right w:type="dxa" w:w="130"/>
            </w:tcMar>
          </w:tcPr>
          <w:p>
            <w:pPr>
              <w:spacing w:after="0" w:line="260"/>
              <w:jc w:val="left"/>
            </w:pPr>
            <w:r>
              <w:rPr>
                <w:rFonts w:ascii="Calibri" w:cs="Calibri" w:eastAsia="Calibri" w:hAnsi="Calibri"/>
                <w:b/>
                <w:bCs/>
                <w:color w:val="9C7A2F"/>
                <w:sz w:val="20"/>
                <w:szCs w:val="20"/>
              </w:rPr>
              <w:t xml:space="preserve">Two-tier routing (recommended)</w:t>
            </w:r>
          </w:p>
        </w:tc>
        <w:tc>
          <w:tcPr>
            <w:tcW w:type="dxa" w:w="24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$0.058</w:t>
            </w:r>
          </w:p>
        </w:tc>
        <w:tc>
          <w:tcPr>
            <w:tcW w:type="dxa" w:w="24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$0.69</w:t>
            </w:r>
          </w:p>
        </w:tc>
      </w:tr>
      <w:tr>
        <w:tc>
          <w:tcPr>
            <w:tcW w:type="dxa" w:w="422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Sonnet 5</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$0.108</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$1.30</w:t>
            </w:r>
          </w:p>
        </w:tc>
      </w:tr>
      <w:tr>
        <w:tc>
          <w:tcPr>
            <w:tcW w:type="dxa" w:w="4220"/>
            <w:shd w:fill="F3EFE5" w:color="auto" w:val="clear"/>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Claude Opus 5</w:t>
            </w:r>
          </w:p>
        </w:tc>
        <w:tc>
          <w:tcPr>
            <w:tcW w:type="dxa" w:w="240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$0.180</w:t>
            </w:r>
          </w:p>
        </w:tc>
        <w:tc>
          <w:tcPr>
            <w:tcW w:type="dxa" w:w="240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$2.16</w:t>
            </w:r>
          </w:p>
        </w:tc>
      </w:tr>
    </w:tbl>
    <w:p>
      <w:pPr>
        <w:spacing w:after="220" w:before="140" w:line="276"/>
      </w:pPr>
      <w:r>
        <w:rPr>
          <w:rFonts w:ascii="Calibri" w:cs="Calibri" w:eastAsia="Calibri" w:hAnsi="Calibri"/>
          <w:color w:val="5C6B61"/>
          <w:sz w:val="18"/>
          <w:szCs w:val="18"/>
        </w:rPr>
        <w:t xml:space="preserve">Non-AI infrastructure — image storage, database, bandwidth, hosting — adds roughly $0.02 to $0.05 per active user per month. Photographs at approximately 150 KB each accumulate at about 1 GB per 7,000 logs, so storage grows steadily rather than resetting.</w:t>
      </w:r>
    </w:p>
    <w:p>
      <w:pPr>
        <w:pStyle w:val="Heading1"/>
        <w:spacing w:after="160" w:before="360"/>
      </w:pPr>
      <w:r>
        <w:rPr>
          <w:rFonts w:ascii="Calibri" w:cs="Calibri" w:eastAsia="Calibri" w:hAnsi="Calibri"/>
          <w:b/>
          <w:bCs/>
          <w:color w:val="0E6446"/>
          <w:sz w:val="30"/>
          <w:szCs w:val="30"/>
        </w:rPr>
        <w:t xml:space="preserve">Estimated monthly cost at scale</w:t>
      </w:r>
    </w:p>
    <w:p>
      <w:pPr>
        <w:spacing w:after="120" w:before="0" w:line="276"/>
      </w:pPr>
      <w:r>
        <w:rPr>
          <w:rFonts w:ascii="Calibri" w:cs="Calibri" w:eastAsia="Calibri" w:hAnsi="Calibri"/>
          <w:color w:val="16261C"/>
          <w:sz w:val="21"/>
          <w:szCs w:val="21"/>
        </w:rPr>
        <w:t xml:space="preserve">AI verification only, excluding infrastructure and rewards:</w:t>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2660"/>
        <w:gridCol w:w="1590"/>
        <w:gridCol w:w="1590"/>
        <w:gridCol w:w="1590"/>
        <w:gridCol w:w="1590"/>
      </w:tblGrid>
      <w:tr>
        <w:trPr>
          <w:tblHeader/>
        </w:trPr>
        <w:tc>
          <w:tcPr>
            <w:tcW w:type="dxa" w:w="266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Scale</w:t>
            </w:r>
          </w:p>
        </w:tc>
        <w:tc>
          <w:tcPr>
            <w:tcW w:type="dxa" w:w="159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Haiku 4.5</w:t>
            </w:r>
          </w:p>
        </w:tc>
        <w:tc>
          <w:tcPr>
            <w:tcW w:type="dxa" w:w="159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Two-tier</w:t>
            </w:r>
          </w:p>
        </w:tc>
        <w:tc>
          <w:tcPr>
            <w:tcW w:type="dxa" w:w="159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Sonnet 5</w:t>
            </w:r>
          </w:p>
        </w:tc>
        <w:tc>
          <w:tcPr>
            <w:tcW w:type="dxa" w:w="159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Opus 5</w:t>
            </w:r>
          </w:p>
        </w:tc>
      </w:tr>
      <w:tr>
        <w:tc>
          <w:tcPr>
            <w:tcW w:type="dxa" w:w="266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Pilot — 2,000 MAU</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$72</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$115</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$216</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$361</w:t>
            </w:r>
          </w:p>
        </w:tc>
      </w:tr>
      <w:tr>
        <w:tc>
          <w:tcPr>
            <w:tcW w:type="dxa" w:w="2660"/>
            <w:shd w:fill="F3EFE5" w:color="auto" w:val="clear"/>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Year one — 15,000 MAU</w:t>
            </w:r>
          </w:p>
        </w:tc>
        <w:tc>
          <w:tcPr>
            <w:tcW w:type="dxa" w:w="159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$541</w:t>
            </w:r>
          </w:p>
        </w:tc>
        <w:tc>
          <w:tcPr>
            <w:tcW w:type="dxa" w:w="159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$865</w:t>
            </w:r>
          </w:p>
        </w:tc>
        <w:tc>
          <w:tcPr>
            <w:tcW w:type="dxa" w:w="159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$1,622</w:t>
            </w:r>
          </w:p>
        </w:tc>
        <w:tc>
          <w:tcPr>
            <w:tcW w:type="dxa" w:w="1590"/>
            <w:shd w:fill="F3EFE5" w:color="auto"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$2,704</w:t>
            </w:r>
          </w:p>
        </w:tc>
      </w:tr>
      <w:tr>
        <w:tc>
          <w:tcPr>
            <w:tcW w:type="dxa" w:w="266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National — 100,000 MAU</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$3,605</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$5,768</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$10,815</w:t>
            </w:r>
          </w:p>
        </w:tc>
        <w:tc>
          <w:tcPr>
            <w:tcW w:type="dxa" w:w="159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$18,025</w:t>
            </w:r>
          </w:p>
        </w:tc>
      </w:tr>
    </w:tbl>
    <w:p>
      <w:pPr>
        <w:spacing w:after="220" w:before="140" w:line="276"/>
      </w:pPr>
      <w:r>
        <w:rPr>
          <w:rFonts w:ascii="Calibri" w:cs="Calibri" w:eastAsia="Calibri" w:hAnsi="Calibri"/>
          <w:color w:val="5C6B61"/>
          <w:sz w:val="18"/>
          <w:szCs w:val="18"/>
        </w:rPr>
        <w:t xml:space="preserve">Cost scales linearly with verification volume. There is no step change or minimum commitment at any tier, which makes the platform inexpensive to pilot and predictable to forecast.</w:t>
      </w:r>
    </w:p>
    <w:p>
      <w:pPr>
        <w:pStyle w:val="Heading1"/>
        <w:spacing w:after="160" w:before="360"/>
      </w:pPr>
      <w:r>
        <w:rPr>
          <w:rFonts w:ascii="Calibri" w:cs="Calibri" w:eastAsia="Calibri" w:hAnsi="Calibri"/>
          <w:b/>
          <w:bCs/>
          <w:color w:val="0E6446"/>
          <w:sz w:val="30"/>
          <w:szCs w:val="30"/>
        </w:rPr>
        <w:t xml:space="preserve">The number that governs the budget</w:t>
      </w:r>
    </w:p>
    <w:p>
      <w:pPr>
        <w:spacing w:after="120" w:before="0" w:line="276"/>
      </w:pPr>
      <w:r>
        <w:rPr>
          <w:rFonts w:ascii="Calibri" w:cs="Calibri" w:eastAsia="Calibri" w:hAnsi="Calibri"/>
          <w:color w:val="16261C"/>
          <w:sz w:val="21"/>
          <w:szCs w:val="21"/>
        </w:rPr>
        <w:t xml:space="preserve">AI verification is not the platform's expensive component. Reward liability is.</w:t>
      </w:r>
    </w:p>
    <w:p>
      <w:pPr>
        <w:spacing w:after="120" w:before="0" w:line="276"/>
      </w:pPr>
      <w:r>
        <w:rPr>
          <w:rFonts w:ascii="Calibri" w:cs="Calibri" w:eastAsia="Calibri" w:hAnsi="Calibri"/>
          <w:color w:val="16261C"/>
          <w:sz w:val="21"/>
          <w:szCs w:val="21"/>
        </w:rPr>
        <w:t xml:space="preserve">The prototype's rewards catalogue prices a AED 100 mall voucher at 1,800 points, which values one point at approximately AED 0.056. At an average of 40 points per verified log, each log creates AED 2.22 of reward liability against AED 0.030 of AI cost.</w:t>
      </w:r>
    </w:p>
    <w:p>
      <w:pPr>
        <w:spacing w:after="140"/>
      </w:pPr>
      <w:r>
        <w:t xml:space="preserve"/>
      </w:r>
    </w:p>
    <w:tbl>
      <w:tblPr>
        <w:tblW w:type="dxa" w:w="9020"/>
        <w:tblBorders>
          <w:top w:val="single" w:color="D5CBB4" w:sz="2"/>
          <w:left w:val="single" w:color="D5CBB4" w:sz="2"/>
          <w:bottom w:val="single" w:color="D5CBB4" w:sz="2"/>
          <w:right w:val="single" w:color="D5CBB4" w:sz="2"/>
          <w:insideH w:val="single" w:color="D5CBB4" w:sz="2"/>
          <w:insideV w:val="single" w:color="D5CBB4" w:sz="2"/>
        </w:tblBorders>
      </w:tblPr>
      <w:tblGrid>
        <w:gridCol w:w="4220"/>
        <w:gridCol w:w="2400"/>
        <w:gridCol w:w="2400"/>
      </w:tblGrid>
      <w:tr>
        <w:trPr>
          <w:tblHeader/>
        </w:trPr>
        <w:tc>
          <w:tcPr>
            <w:tcW w:type="dxa" w:w="4220"/>
            <w:shd w:fill="0E6446" w:color="auto" w:val="clear"/>
            <w:tcMar>
              <w:top w:type="dxa" w:w="90"/>
              <w:left w:type="dxa" w:w="130"/>
              <w:bottom w:type="dxa" w:w="90"/>
              <w:right w:type="dxa" w:w="130"/>
            </w:tcMar>
          </w:tcPr>
          <w:p>
            <w:pPr>
              <w:spacing w:after="0" w:line="260"/>
              <w:jc w:val="left"/>
            </w:pPr>
            <w:r>
              <w:rPr>
                <w:rFonts w:ascii="Calibri" w:cs="Calibri" w:eastAsia="Calibri" w:hAnsi="Calibri"/>
                <w:b/>
                <w:bCs/>
                <w:color w:val="FFFFFF"/>
                <w:sz w:val="19"/>
                <w:szCs w:val="19"/>
              </w:rPr>
              <w:t xml:space="preserve">Cost line at 100,000 MAU</w:t>
            </w:r>
          </w:p>
        </w:tc>
        <w:tc>
          <w:tcPr>
            <w:tcW w:type="dxa" w:w="24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Monthly (AED)</w:t>
            </w:r>
          </w:p>
        </w:tc>
        <w:tc>
          <w:tcPr>
            <w:tcW w:type="dxa" w:w="2400"/>
            <w:shd w:fill="0E6446" w:color="auto" w:val="clear"/>
            <w:tcMar>
              <w:top w:type="dxa" w:w="90"/>
              <w:left w:type="dxa" w:w="130"/>
              <w:bottom w:type="dxa" w:w="90"/>
              <w:right w:type="dxa" w:w="130"/>
            </w:tcMar>
          </w:tcPr>
          <w:p>
            <w:pPr>
              <w:spacing w:after="0" w:line="260"/>
              <w:jc w:val="right"/>
            </w:pPr>
            <w:r>
              <w:rPr>
                <w:rFonts w:ascii="Calibri" w:cs="Calibri" w:eastAsia="Calibri" w:hAnsi="Calibri"/>
                <w:b/>
                <w:bCs/>
                <w:color w:val="FFFFFF"/>
                <w:sz w:val="19"/>
                <w:szCs w:val="19"/>
              </w:rPr>
              <w:t xml:space="preserve">Ratio to AI</w:t>
            </w:r>
          </w:p>
        </w:tc>
      </w:tr>
      <w:tr>
        <w:tc>
          <w:tcPr>
            <w:tcW w:type="dxa" w:w="422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AI verification — two-tier routing</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21,200</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w:t>
            </w:r>
          </w:p>
        </w:tc>
      </w:tr>
      <w:tr>
        <w:tc>
          <w:tcPr>
            <w:tcW w:type="dxa" w:w="4220"/>
            <w:shd w:fill="FBF4E3" w:color="auto" w:val="clear"/>
            <w:tcMar>
              <w:top w:type="dxa" w:w="90"/>
              <w:left w:type="dxa" w:w="130"/>
              <w:bottom w:type="dxa" w:w="90"/>
              <w:right w:type="dxa" w:w="130"/>
            </w:tcMar>
          </w:tcPr>
          <w:p>
            <w:pPr>
              <w:spacing w:after="0" w:line="260"/>
              <w:jc w:val="left"/>
            </w:pPr>
            <w:r>
              <w:rPr>
                <w:rFonts w:ascii="Calibri" w:cs="Calibri" w:eastAsia="Calibri" w:hAnsi="Calibri"/>
                <w:b/>
                <w:bCs/>
                <w:color w:val="9C7A2F"/>
                <w:sz w:val="20"/>
                <w:szCs w:val="20"/>
              </w:rPr>
              <w:t xml:space="preserve">Reward liability — 50% redemption</w:t>
            </w:r>
          </w:p>
        </w:tc>
        <w:tc>
          <w:tcPr>
            <w:tcW w:type="dxa" w:w="24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777,800</w:t>
            </w:r>
          </w:p>
        </w:tc>
        <w:tc>
          <w:tcPr>
            <w:tcW w:type="dxa" w:w="2400"/>
            <w:shd w:fill="FBF4E3" w:color="auto" w:val="clear"/>
            <w:tcMar>
              <w:top w:type="dxa" w:w="90"/>
              <w:left w:type="dxa" w:w="130"/>
              <w:bottom w:type="dxa" w:w="90"/>
              <w:right w:type="dxa" w:w="130"/>
            </w:tcMar>
          </w:tcPr>
          <w:p>
            <w:pPr>
              <w:spacing w:after="0" w:line="260"/>
              <w:jc w:val="right"/>
            </w:pPr>
            <w:r>
              <w:rPr>
                <w:rFonts w:ascii="Calibri" w:cs="Calibri" w:eastAsia="Calibri" w:hAnsi="Calibri"/>
                <w:b/>
                <w:bCs/>
                <w:color w:val="9C7A2F"/>
                <w:sz w:val="20"/>
                <w:szCs w:val="20"/>
              </w:rPr>
              <w:t xml:space="preserve">37×</w:t>
            </w:r>
          </w:p>
        </w:tc>
      </w:tr>
      <w:tr>
        <w:tc>
          <w:tcPr>
            <w:tcW w:type="dxa" w:w="4220"/>
            <w:tcMar>
              <w:top w:type="dxa" w:w="90"/>
              <w:left w:type="dxa" w:w="130"/>
              <w:bottom w:type="dxa" w:w="90"/>
              <w:right w:type="dxa" w:w="130"/>
            </w:tcMar>
          </w:tcPr>
          <w:p>
            <w:pPr>
              <w:spacing w:after="0" w:line="260"/>
              <w:jc w:val="left"/>
            </w:pPr>
            <w:r>
              <w:rPr>
                <w:rFonts w:ascii="Calibri" w:cs="Calibri" w:eastAsia="Calibri" w:hAnsi="Calibri"/>
                <w:b/>
                <w:bCs/>
                <w:color w:val="16261C"/>
                <w:sz w:val="20"/>
                <w:szCs w:val="20"/>
              </w:rPr>
              <w:t xml:space="preserve">Reward liability — 100% redemption</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1,555,600</w:t>
            </w:r>
          </w:p>
        </w:tc>
        <w:tc>
          <w:tcPr>
            <w:tcW w:type="dxa" w:w="2400"/>
            <w:tcMar>
              <w:top w:type="dxa" w:w="90"/>
              <w:left w:type="dxa" w:w="130"/>
              <w:bottom w:type="dxa" w:w="90"/>
              <w:right w:type="dxa" w:w="130"/>
            </w:tcMar>
          </w:tcPr>
          <w:p>
            <w:pPr>
              <w:spacing w:after="0" w:line="260"/>
              <w:jc w:val="right"/>
            </w:pPr>
            <w:r>
              <w:rPr>
                <w:rFonts w:ascii="Calibri" w:cs="Calibri" w:eastAsia="Calibri" w:hAnsi="Calibri"/>
                <w:b w:val="false"/>
                <w:bCs w:val="false"/>
                <w:color w:val="16261C"/>
                <w:sz w:val="20"/>
                <w:szCs w:val="20"/>
              </w:rPr>
              <w:t xml:space="preserve">73×</w:t>
            </w:r>
          </w:p>
        </w:tc>
      </w:tr>
    </w:tbl>
    <w:p>
      <w:pPr>
        <w:spacing w:after="200"/>
      </w:pPr>
      <w:r>
        <w:t xml:space="preserve"/>
      </w:r>
    </w:p>
    <w:tbl>
      <w:tblPr>
        <w:tblW w:type="dxa" w:w="9020"/>
        <w:tblBorders>
          <w:top w:val="none" w:color="FFFFFF" w:sz="0"/>
          <w:left w:val="single" w:color="B4531F" w:sz="18"/>
          <w:bottom w:val="none" w:color="FFFFFF" w:sz="0"/>
          <w:right w:val="none" w:color="FFFFFF" w:sz="0"/>
          <w:insideH w:val="none" w:color="FFFFFF" w:sz="0"/>
          <w:insideV w:val="none" w:color="FFFFFF" w:sz="0"/>
        </w:tblBorders>
      </w:tblPr>
      <w:tblGrid>
        <w:gridCol w:w="9020"/>
      </w:tblGrid>
      <w:tr>
        <w:tc>
          <w:tcPr>
            <w:tcW w:type="dxa" w:w="9020"/>
            <w:shd w:fill="FBEEE5" w:color="auto" w:val="clear"/>
            <w:tcMar>
              <w:top w:type="dxa" w:w="160"/>
              <w:left w:type="dxa" w:w="220"/>
              <w:bottom w:type="dxa" w:w="160"/>
              <w:right w:type="dxa" w:w="200"/>
            </w:tcMar>
          </w:tcPr>
          <w:p>
            <w:pPr>
              <w:spacing w:after="110" w:line="276"/>
            </w:pPr>
            <w:r>
              <w:rPr>
                <w:rFonts w:ascii="Calibri" w:cs="Calibri" w:eastAsia="Calibri" w:hAnsi="Calibri"/>
                <w:b/>
                <w:bCs/>
                <w:color w:val="B4531F"/>
                <w:sz w:val="22"/>
                <w:szCs w:val="22"/>
              </w:rPr>
              <w:t xml:space="preserve">What follows from this.</w:t>
            </w:r>
          </w:p>
          <w:p>
            <w:pPr>
              <w:spacing w:after="110" w:line="276"/>
            </w:pPr>
            <w:r>
              <w:rPr>
                <w:rFonts w:ascii="Calibri" w:cs="Calibri" w:eastAsia="Calibri" w:hAnsi="Calibri"/>
                <w:color w:val="16261C"/>
                <w:sz w:val="21"/>
                <w:szCs w:val="21"/>
              </w:rPr>
              <w:t xml:space="preserve">The sponsorship model determines viability far more than the model choice does. Two consequences are worth acting on before launch.</w:t>
            </w:r>
          </w:p>
          <w:p>
            <w:pPr>
              <w:spacing w:after="110" w:line="276"/>
            </w:pPr>
            <w:r>
              <w:rPr>
                <w:rFonts w:ascii="Calibri" w:cs="Calibri" w:eastAsia="Calibri" w:hAnsi="Calibri"/>
                <w:color w:val="16261C"/>
                <w:sz w:val="21"/>
                <w:szCs w:val="21"/>
              </w:rPr>
              <w:t xml:space="preserve">First, partner-funded rewards should carry the bulk of the catalogue. A garden centre offering 20% off its own seed range spends its margin, not the platform's, and gains a qualified customer — the incentives align without a cash transfer. Vouchers purchased at face value should be the exception, reserved for the top of the ladder.</w:t>
            </w:r>
          </w:p>
          <w:p>
            <w:pPr>
              <w:spacing w:after="0" w:line="276"/>
            </w:pPr>
            <w:r>
              <w:rPr>
                <w:rFonts w:ascii="Calibri" w:cs="Calibri" w:eastAsia="Calibri" w:hAnsi="Calibri"/>
                <w:color w:val="16261C"/>
                <w:sz w:val="21"/>
                <w:szCs w:val="21"/>
              </w:rPr>
              <w:t xml:space="preserve">Second, the points-to-AED exchange rate must be a configuration value the operator can tune, not the hardcoded catalogue prices currently in the prototype's data file. It is the single most sensitive input in the model and will need adjustment once real redemption behaviour is observed.</w:t>
            </w:r>
          </w:p>
        </w:tc>
      </w:tr>
    </w:tbl>
    <w:p>
      <w:r>
        <w:br w:type="page"/>
      </w:r>
    </w:p>
    <w:p>
      <w:pPr>
        <w:pStyle w:val="Heading1"/>
        <w:spacing w:after="160" w:before="360"/>
      </w:pPr>
      <w:r>
        <w:rPr>
          <w:rFonts w:ascii="Calibri" w:cs="Calibri" w:eastAsia="Calibri" w:hAnsi="Calibri"/>
          <w:b/>
          <w:bCs/>
          <w:color w:val="0E6446"/>
          <w:sz w:val="30"/>
          <w:szCs w:val="30"/>
        </w:rPr>
        <w:t xml:space="preserve">Recommendations</w:t>
      </w:r>
    </w:p>
    <w:p>
      <w:pPr>
        <w:pStyle w:val="Heading2"/>
        <w:spacing w:after="120" w:before="260"/>
      </w:pPr>
      <w:r>
        <w:rPr>
          <w:rFonts w:ascii="Calibri" w:cs="Calibri" w:eastAsia="Calibri" w:hAnsi="Calibri"/>
          <w:b/>
          <w:bCs/>
          <w:color w:val="16261C"/>
          <w:sz w:val="24"/>
          <w:szCs w:val="24"/>
        </w:rPr>
        <w:t xml:space="preserve">On cost control</w:t>
      </w:r>
    </w:p>
    <w:p>
      <w:pPr>
        <w:pStyle w:val="ListParagraph"/>
        <w:numPr>
          <w:ilvl w:val="0"/>
          <w:numId w:val="2"/>
        </w:numPr>
        <w:spacing w:after="80" w:line="276"/>
      </w:pPr>
      <w:r>
        <w:rPr>
          <w:rFonts w:ascii="Calibri" w:cs="Calibri" w:eastAsia="Calibri" w:hAnsi="Calibri"/>
          <w:color w:val="16261C"/>
          <w:sz w:val="21"/>
          <w:szCs w:val="21"/>
        </w:rPr>
        <w:t xml:space="preserve">Adopt two-tier routing. Haiku 4.5 on routine logs, Sonnet 5 on high-value and low-confidence submissions. 37% cheaper than a single-model Sonnet 5 deployment with no loss of accuracy where accuracy matters.</w:t>
      </w:r>
    </w:p>
    <w:p>
      <w:pPr>
        <w:pStyle w:val="ListParagraph"/>
        <w:numPr>
          <w:ilvl w:val="0"/>
          <w:numId w:val="2"/>
        </w:numPr>
        <w:spacing w:after="80" w:line="276"/>
      </w:pPr>
      <w:r>
        <w:rPr>
          <w:rFonts w:ascii="Calibri" w:cs="Calibri" w:eastAsia="Calibri" w:hAnsi="Calibri"/>
          <w:color w:val="16261C"/>
          <w:sz w:val="21"/>
          <w:szCs w:val="21"/>
        </w:rPr>
        <w:t xml:space="preserve">Downscale images before upload. The prototype already reduces captures to 640px. Sending a full-resolution phone photograph to a high-resolution-tier model can cost four times as many image tokens.</w:t>
      </w:r>
    </w:p>
    <w:p>
      <w:pPr>
        <w:pStyle w:val="ListParagraph"/>
        <w:numPr>
          <w:ilvl w:val="0"/>
          <w:numId w:val="2"/>
        </w:numPr>
        <w:spacing w:after="80" w:line="276"/>
      </w:pPr>
      <w:r>
        <w:rPr>
          <w:rFonts w:ascii="Calibri" w:cs="Calibri" w:eastAsia="Calibri" w:hAnsi="Calibri"/>
          <w:color w:val="16261C"/>
          <w:sz w:val="21"/>
          <w:szCs w:val="21"/>
        </w:rPr>
        <w:t xml:space="preserve">Cache the system prompt and keep it byte-stable. Any change to the rubric, species index, or schema invalidates the cache and re-bills the prefix at full rate.</w:t>
      </w:r>
    </w:p>
    <w:p>
      <w:pPr>
        <w:pStyle w:val="ListParagraph"/>
        <w:numPr>
          <w:ilvl w:val="0"/>
          <w:numId w:val="2"/>
        </w:numPr>
        <w:spacing w:after="80" w:line="276"/>
      </w:pPr>
      <w:r>
        <w:rPr>
          <w:rFonts w:ascii="Calibri" w:cs="Calibri" w:eastAsia="Calibri" w:hAnsi="Calibri"/>
          <w:color w:val="16261C"/>
          <w:sz w:val="21"/>
          <w:szCs w:val="21"/>
        </w:rPr>
        <w:t xml:space="preserve">Keep the verdict JSON terse. Output tokens are the largest single cost line; every field in the response schema is billed on every verification.</w:t>
      </w:r>
    </w:p>
    <w:p>
      <w:pPr>
        <w:pStyle w:val="Heading2"/>
        <w:spacing w:after="120" w:before="260"/>
      </w:pPr>
      <w:r>
        <w:rPr>
          <w:rFonts w:ascii="Calibri" w:cs="Calibri" w:eastAsia="Calibri" w:hAnsi="Calibri"/>
          <w:b/>
          <w:bCs/>
          <w:color w:val="16261C"/>
          <w:sz w:val="24"/>
          <w:szCs w:val="24"/>
        </w:rPr>
        <w:t xml:space="preserve">On integrity</w:t>
      </w:r>
    </w:p>
    <w:p>
      <w:pPr>
        <w:pStyle w:val="ListParagraph"/>
        <w:numPr>
          <w:ilvl w:val="0"/>
          <w:numId w:val="2"/>
        </w:numPr>
        <w:spacing w:after="80" w:line="276"/>
      </w:pPr>
      <w:r>
        <w:rPr>
          <w:rFonts w:ascii="Calibri" w:cs="Calibri" w:eastAsia="Calibri" w:hAnsi="Calibri"/>
          <w:color w:val="16261C"/>
          <w:sz w:val="21"/>
          <w:szCs w:val="21"/>
        </w:rPr>
        <w:t xml:space="preserve">Use the Batch API for a nightly fraud sweep. Batch processing is 50% cheaper but returns within an hour, so it cannot serve live verification. It fits a scheduled re-check of a random sample of the day's approvals using a stronger model — a low-cost way to keep the leaderboard credible.</w:t>
      </w:r>
    </w:p>
    <w:p>
      <w:pPr>
        <w:pStyle w:val="ListParagraph"/>
        <w:numPr>
          <w:ilvl w:val="0"/>
          <w:numId w:val="2"/>
        </w:numPr>
        <w:spacing w:after="80" w:line="276"/>
      </w:pPr>
      <w:r>
        <w:rPr>
          <w:rFonts w:ascii="Calibri" w:cs="Calibri" w:eastAsia="Calibri" w:hAnsi="Calibri"/>
          <w:color w:val="16261C"/>
          <w:sz w:val="21"/>
          <w:szCs w:val="21"/>
        </w:rPr>
        <w:t xml:space="preserve">Route flagged submissions to human review rather than rejecting them. The cost of a wrongly rejected log is a lost grower; the cost of a review is minutes of an extension officer's time.</w:t>
      </w:r>
    </w:p>
    <w:p>
      <w:pPr>
        <w:pStyle w:val="Heading2"/>
        <w:spacing w:after="120" w:before="260"/>
      </w:pPr>
      <w:r>
        <w:rPr>
          <w:rFonts w:ascii="Calibri" w:cs="Calibri" w:eastAsia="Calibri" w:hAnsi="Calibri"/>
          <w:b/>
          <w:bCs/>
          <w:color w:val="16261C"/>
          <w:sz w:val="24"/>
          <w:szCs w:val="24"/>
        </w:rPr>
        <w:t xml:space="preserve">On the reward economy</w:t>
      </w:r>
    </w:p>
    <w:p>
      <w:pPr>
        <w:pStyle w:val="ListParagraph"/>
        <w:numPr>
          <w:ilvl w:val="0"/>
          <w:numId w:val="2"/>
        </w:numPr>
        <w:spacing w:after="80" w:line="276"/>
      </w:pPr>
      <w:r>
        <w:rPr>
          <w:rFonts w:ascii="Calibri" w:cs="Calibri" w:eastAsia="Calibri" w:hAnsi="Calibri"/>
          <w:color w:val="16261C"/>
          <w:sz w:val="21"/>
          <w:szCs w:val="21"/>
        </w:rPr>
        <w:t xml:space="preserve">Model redemption rate explicitly and revisit it quarterly. Loyalty programmes typically see 30–70% of issued points redeemed; the gap between those figures is roughly AED 620,000 per month at national scale.</w:t>
      </w:r>
    </w:p>
    <w:p>
      <w:pPr>
        <w:pStyle w:val="ListParagraph"/>
        <w:numPr>
          <w:ilvl w:val="0"/>
          <w:numId w:val="2"/>
        </w:numPr>
        <w:spacing w:after="80" w:line="276"/>
      </w:pPr>
      <w:r>
        <w:rPr>
          <w:rFonts w:ascii="Calibri" w:cs="Calibri" w:eastAsia="Calibri" w:hAnsi="Calibri"/>
          <w:color w:val="16261C"/>
          <w:sz w:val="21"/>
          <w:szCs w:val="21"/>
        </w:rPr>
        <w:t xml:space="preserve">Secure partner-funded rewards before scaling user acquisition. Growth without a sponsorship base converts directly into liability.</w:t>
      </w:r>
    </w:p>
    <w:p>
      <w:pPr>
        <w:pStyle w:val="Heading1"/>
        <w:spacing w:after="160" w:before="360"/>
      </w:pPr>
      <w:r>
        <w:rPr>
          <w:rFonts w:ascii="Calibri" w:cs="Calibri" w:eastAsia="Calibri" w:hAnsi="Calibri"/>
          <w:b/>
          <w:bCs/>
          <w:color w:val="0E6446"/>
          <w:sz w:val="30"/>
          <w:szCs w:val="30"/>
        </w:rPr>
        <w:t xml:space="preserve">Verification and caveats</w:t>
      </w:r>
    </w:p>
    <w:p>
      <w:pPr>
        <w:spacing w:after="120" w:before="0" w:line="276"/>
      </w:pPr>
      <w:r>
        <w:rPr>
          <w:rFonts w:ascii="Calibri" w:cs="Calibri" w:eastAsia="Calibri" w:hAnsi="Calibri"/>
          <w:color w:val="16261C"/>
          <w:sz w:val="21"/>
          <w:szCs w:val="21"/>
        </w:rPr>
        <w:t xml:space="preserve">Published per-token prices are firm. Token counts are modelled and should be measured before any figure here is committed to a budget.</w:t>
      </w:r>
    </w:p>
    <w:p>
      <w:pPr>
        <w:spacing w:after="120" w:before="0" w:line="276"/>
      </w:pPr>
      <w:r>
        <w:rPr>
          <w:rFonts w:ascii="Calibri" w:cs="Calibri" w:eastAsia="Calibri" w:hAnsi="Calibri"/>
          <w:color w:val="16261C"/>
          <w:sz w:val="21"/>
          <w:szCs w:val="21"/>
        </w:rPr>
        <w:t xml:space="preserve">The image token count is the largest source of uncertainty. Claude Opus 5 and Sonnet 5 accept high-resolution images up to 2,576 pixels on the long edge, costing as much as 4,784 tokens for a single full-resolution photograph. That is roughly four times the 1,200 tokens assumed here, and would raise the Sonnet 5 per-call cost to approximately $0.030. The prototype's 640px downscaling keeps it at the low end of that range, but the production capture pipeline should be measured directly:</w:t>
      </w:r>
    </w:p>
    <w:p>
      <w:pPr>
        <w:spacing w:after="120"/>
      </w:pPr>
      <w:r>
        <w:t xml:space="preserve"/>
      </w:r>
    </w:p>
    <w:tbl>
      <w:tblPr>
        <w:tblW w:type="dxa" w:w="9020"/>
        <w:tblBorders>
          <w:top w:val="single" w:color="D5CBB4" w:sz="2"/>
          <w:left w:val="single" w:color="D5CBB4" w:sz="2"/>
          <w:bottom w:val="single" w:color="D5CBB4" w:sz="2"/>
          <w:right w:val="single" w:color="D5CBB4" w:sz="2"/>
          <w:insideH w:val="none" w:color="FFFFFF" w:sz="0"/>
          <w:insideV w:val="none" w:color="FFFFFF" w:sz="0"/>
        </w:tblBorders>
      </w:tblPr>
      <w:tblGrid>
        <w:gridCol w:w="9020"/>
      </w:tblGrid>
      <w:tr>
        <w:tc>
          <w:tcPr>
            <w:tcW w:type="dxa" w:w="9020"/>
            <w:shd w:fill="F3EFE5" w:color="auto" w:val="clear"/>
            <w:tcMar>
              <w:top w:type="dxa" w:w="150"/>
              <w:left w:type="dxa" w:w="180"/>
              <w:bottom w:type="dxa" w:w="150"/>
              <w:right w:type="dxa" w:w="180"/>
            </w:tcMar>
          </w:tcPr>
          <w:p>
            <w:pPr>
              <w:spacing w:after="0"/>
            </w:pPr>
            <w:r>
              <w:rPr>
                <w:rFonts w:ascii="Consolas" w:cs="Consolas" w:eastAsia="Consolas" w:hAnsi="Consolas"/>
                <w:color w:val="16261C"/>
                <w:sz w:val="17"/>
                <w:szCs w:val="17"/>
              </w:rPr>
              <w:t xml:space="preserve">ant messages count-tokens --model claude-sonnet-5 \</w:t>
            </w:r>
          </w:p>
          <w:p>
            <w:pPr>
              <w:spacing w:after="0"/>
            </w:pPr>
            <w:r>
              <w:rPr>
                <w:rFonts w:ascii="Consolas" w:cs="Consolas" w:eastAsia="Consolas" w:hAnsi="Consolas"/>
                <w:color w:val="16261C"/>
                <w:sz w:val="17"/>
                <w:szCs w:val="17"/>
              </w:rPr>
              <w:t xml:space="preserve">  --message '{role: user, content: [{type: image, source: {type: base64,</w:t>
            </w:r>
          </w:p>
          <w:p>
            <w:pPr>
              <w:spacing w:after="0"/>
            </w:pPr>
            <w:r>
              <w:rPr>
                <w:rFonts w:ascii="Consolas" w:cs="Consolas" w:eastAsia="Consolas" w:hAnsi="Consolas"/>
                <w:color w:val="16261C"/>
                <w:sz w:val="17"/>
                <w:szCs w:val="17"/>
              </w:rPr>
              <w:t xml:space="preserve">  media_type: "image/jpeg", data: "@./sample-plant.jpg"}}]}' \</w:t>
            </w:r>
          </w:p>
          <w:p>
            <w:pPr>
              <w:spacing w:after="0"/>
            </w:pPr>
            <w:r>
              <w:rPr>
                <w:rFonts w:ascii="Consolas" w:cs="Consolas" w:eastAsia="Consolas" w:hAnsi="Consolas"/>
                <w:color w:val="16261C"/>
                <w:sz w:val="17"/>
                <w:szCs w:val="17"/>
              </w:rPr>
              <w:t xml:space="preserve">  --transform input_tokens -r</w:t>
            </w:r>
          </w:p>
        </w:tc>
      </w:tr>
    </w:tbl>
    <w:p>
      <w:pPr>
        <w:spacing w:after="220"/>
      </w:pPr>
      <w:r>
        <w:t xml:space="preserve"/>
      </w:r>
    </w:p>
    <w:p>
      <w:pPr>
        <w:pStyle w:val="Heading2"/>
        <w:spacing w:after="120" w:before="260"/>
      </w:pPr>
      <w:r>
        <w:rPr>
          <w:rFonts w:ascii="Calibri" w:cs="Calibri" w:eastAsia="Calibri" w:hAnsi="Calibri"/>
          <w:b/>
          <w:bCs/>
          <w:color w:val="16261C"/>
          <w:sz w:val="24"/>
          <w:szCs w:val="24"/>
        </w:rPr>
        <w:t xml:space="preserve">Other limits of this estimate</w:t>
      </w:r>
    </w:p>
    <w:p>
      <w:pPr>
        <w:pStyle w:val="ListParagraph"/>
        <w:numPr>
          <w:ilvl w:val="0"/>
          <w:numId w:val="2"/>
        </w:numPr>
        <w:spacing w:after="80" w:line="276"/>
      </w:pPr>
      <w:r>
        <w:rPr>
          <w:rFonts w:ascii="Calibri" w:cs="Calibri" w:eastAsia="Calibri" w:hAnsi="Calibri"/>
          <w:color w:val="16261C"/>
          <w:sz w:val="21"/>
          <w:szCs w:val="21"/>
        </w:rPr>
        <w:t xml:space="preserve">Usage of 7 logs per active user per month is a modelled engagement curve, not observed behaviour. It should be replaced with pilot data as soon as any exists.</w:t>
      </w:r>
    </w:p>
    <w:p>
      <w:pPr>
        <w:pStyle w:val="ListParagraph"/>
        <w:numPr>
          <w:ilvl w:val="0"/>
          <w:numId w:val="2"/>
        </w:numPr>
        <w:spacing w:after="80" w:line="276"/>
      </w:pPr>
      <w:r>
        <w:rPr>
          <w:rFonts w:ascii="Calibri" w:cs="Calibri" w:eastAsia="Calibri" w:hAnsi="Calibri"/>
          <w:color w:val="16261C"/>
          <w:sz w:val="21"/>
          <w:szCs w:val="21"/>
        </w:rPr>
        <w:t xml:space="preserve">The 40-point average per log is derived from the prototype's action values and bonus structure. Changing the points economy changes the reward liability figure proportionally.</w:t>
      </w:r>
    </w:p>
    <w:p>
      <w:pPr>
        <w:pStyle w:val="ListParagraph"/>
        <w:numPr>
          <w:ilvl w:val="0"/>
          <w:numId w:val="2"/>
        </w:numPr>
        <w:spacing w:after="80" w:line="276"/>
      </w:pPr>
      <w:r>
        <w:rPr>
          <w:rFonts w:ascii="Calibri" w:cs="Calibri" w:eastAsia="Calibri" w:hAnsi="Calibri"/>
          <w:color w:val="16261C"/>
          <w:sz w:val="21"/>
          <w:szCs w:val="21"/>
        </w:rPr>
        <w:t xml:space="preserve">Partner names and reward offers in the prototype are placeholders. Real commercial terms will move the liability figure substantially in either direction.</w:t>
      </w:r>
    </w:p>
    <w:p>
      <w:pPr>
        <w:pStyle w:val="ListParagraph"/>
        <w:numPr>
          <w:ilvl w:val="0"/>
          <w:numId w:val="2"/>
        </w:numPr>
        <w:spacing w:after="80" w:line="276"/>
      </w:pPr>
      <w:r>
        <w:rPr>
          <w:rFonts w:ascii="Calibri" w:cs="Calibri" w:eastAsia="Calibri" w:hAnsi="Calibri"/>
          <w:color w:val="16261C"/>
          <w:sz w:val="21"/>
          <w:szCs w:val="21"/>
        </w:rPr>
        <w:t xml:space="preserve">Prices reflect the Anthropic first-party API. Amazon Bedrock and Google Vertex AI are partner-operated with separate pricing, and prompt caching behaves differently on each.</w:t>
      </w:r>
    </w:p>
    <w:p>
      <w:pPr>
        <w:pStyle w:val="ListParagraph"/>
        <w:numPr>
          <w:ilvl w:val="0"/>
          <w:numId w:val="2"/>
        </w:numPr>
        <w:spacing w:after="80" w:line="276"/>
      </w:pPr>
      <w:r>
        <w:rPr>
          <w:rFonts w:ascii="Calibri" w:cs="Calibri" w:eastAsia="Calibri" w:hAnsi="Calibri"/>
          <w:color w:val="16261C"/>
          <w:sz w:val="21"/>
          <w:szCs w:val="21"/>
        </w:rPr>
        <w:t xml:space="preserve">Rates were current as of June 2026 and should be re-checked against the published pricing page before the figures are used externally.</w:t>
      </w:r>
    </w:p>
    <w:p>
      <w:pPr>
        <w:spacing w:after="200"/>
      </w:pPr>
      <w:r>
        <w:t xml:space="preserve"/>
      </w:r>
    </w:p>
    <w:p>
      <w:pPr>
        <w:spacing w:after="120" w:before="200" w:line="276"/>
      </w:pPr>
      <w:r>
        <w:rPr>
          <w:rFonts w:ascii="Calibri" w:cs="Calibri" w:eastAsia="Calibri" w:hAnsi="Calibri"/>
          <w:i/>
          <w:iCs/>
          <w:color w:val="5C6B61"/>
          <w:sz w:val="17"/>
          <w:szCs w:val="17"/>
        </w:rPr>
        <w:t xml:space="preserve">Nabta is a prototype built for IGCF in service of the UAE National Food Security Strategy 2051. Nothing in this document has been reviewed or endorsed by any authority.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61"/>
        <w:sz w:val="16"/>
        <w:szCs w:val="16"/>
      </w:rPr>
      <w:t xml:space="preserve">Nabta — AI Verification Cost Model   ·   Page </w:t>
    </w:r>
    <w:r>
      <w:rPr>
        <w:rFonts w:ascii="Calibri" w:cs="Calibri" w:eastAsia="Calibri" w:hAnsi="Calibri"/>
        <w:color w:val="5C6B61"/>
        <w:sz w:val="16"/>
        <w:szCs w:val="16"/>
      </w:rPr>
      <w:fldChar w:fldCharType="begin"/>
      <w:instrText xml:space="preserve">PAGE</w:instrText>
      <w:fldChar w:fldCharType="separate"/>
      <w:fldChar w:fldCharType="end"/>
    </w:r>
    <w:r>
      <w:rPr>
        <w:rFonts w:ascii="Calibri" w:cs="Calibri" w:eastAsia="Calibri" w:hAnsi="Calibri"/>
        <w:color w:val="5C6B61"/>
        <w:sz w:val="16"/>
        <w:szCs w:val="16"/>
      </w:rPr>
      <w:t xml:space="preserve"> of </w:t>
    </w:r>
    <w:r>
      <w:rPr>
        <w:rFonts w:ascii="Calibri" w:cs="Calibri" w:eastAsia="Calibri" w:hAnsi="Calibri"/>
        <w:color w:val="5C6B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E644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Nabta — AI Verification Cost Model</dc:title>
  <dc:creator>Nabta</dc:creator>
  <dc:description>Cost model for AI-verified planting logs, per-user economics, and monthly projections at scale.</dc:description>
  <cp:lastModifiedBy>Un-named</cp:lastModifiedBy>
  <cp:revision>1</cp:revision>
  <dcterms:created xsi:type="dcterms:W3CDTF">2026-08-13T12:11:43.511Z</dcterms:created>
  <dcterms:modified xsi:type="dcterms:W3CDTF">2026-08-13T12:11:43.512Z</dcterms:modified>
</cp:coreProperties>
</file>

<file path=docProps/custom.xml><?xml version="1.0" encoding="utf-8"?>
<Properties xmlns="http://schemas.openxmlformats.org/officeDocument/2006/custom-properties" xmlns:vt="http://schemas.openxmlformats.org/officeDocument/2006/docPropsVTypes"/>
</file>