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D5E8B" w14:textId="69D643D9" w:rsidR="002E11E8" w:rsidRPr="00F76DFF" w:rsidRDefault="00000000" w:rsidP="00F76DFF">
      <w:pPr>
        <w:jc w:val="center"/>
        <w:rPr>
          <w:rFonts w:ascii="Times New Roman" w:hAnsi="Times New Roman" w:cs="Times New Roman"/>
          <w:lang w:val="fr-FR"/>
        </w:rPr>
      </w:pPr>
      <w:r w:rsidRPr="00F76DFF">
        <w:rPr>
          <w:rFonts w:ascii="Times New Roman" w:hAnsi="Times New Roman" w:cs="Times New Roman"/>
          <w:b/>
          <w:bCs/>
          <w:lang w:val="fr-FR"/>
        </w:rPr>
        <w:t>Analyse RGPD et Accessibilité de l’outil Health‑</w:t>
      </w:r>
      <w:proofErr w:type="spellStart"/>
      <w:r w:rsidRPr="00F76DFF">
        <w:rPr>
          <w:rFonts w:ascii="Times New Roman" w:hAnsi="Times New Roman" w:cs="Times New Roman"/>
          <w:b/>
          <w:bCs/>
          <w:lang w:val="fr-FR"/>
        </w:rPr>
        <w:t>InsurTech</w:t>
      </w:r>
      <w:proofErr w:type="spellEnd"/>
      <w:r w:rsidRPr="00F76DFF">
        <w:rPr>
          <w:rFonts w:ascii="Times New Roman" w:hAnsi="Times New Roman" w:cs="Times New Roman"/>
          <w:b/>
          <w:bCs/>
          <w:lang w:val="fr-FR"/>
        </w:rPr>
        <w:br/>
      </w:r>
      <w:r w:rsidRPr="00F76DFF">
        <w:rPr>
          <w:rFonts w:ascii="Times New Roman" w:hAnsi="Times New Roman" w:cs="Times New Roman"/>
          <w:lang w:val="fr-FR"/>
        </w:rPr>
        <w:br/>
        <w:t>L’outil de prédiction des frais médicaux proposé par Health‑</w:t>
      </w:r>
      <w:proofErr w:type="spellStart"/>
      <w:r w:rsidRPr="00F76DFF">
        <w:rPr>
          <w:rFonts w:ascii="Times New Roman" w:hAnsi="Times New Roman" w:cs="Times New Roman"/>
          <w:lang w:val="fr-FR"/>
        </w:rPr>
        <w:t>InsurTech</w:t>
      </w:r>
      <w:proofErr w:type="spellEnd"/>
      <w:r w:rsidRPr="00F76DFF">
        <w:rPr>
          <w:rFonts w:ascii="Times New Roman" w:hAnsi="Times New Roman" w:cs="Times New Roman"/>
          <w:lang w:val="fr-FR"/>
        </w:rPr>
        <w:t xml:space="preserve"> permet à un utilisateur de saisir de manière volontaire certaines données personnelles et de santé (âge, IMC, statut tabagique, nombre d’enfants, région). Ces informations sont strictement utilisées pour fournir une estimation indicative de ses dépenses médicales futures, afin de l’aider dans le choix d’un contrat d’assurance santé.</w:t>
      </w:r>
      <w:r w:rsidRPr="00F76DFF">
        <w:rPr>
          <w:rFonts w:ascii="Times New Roman" w:hAnsi="Times New Roman" w:cs="Times New Roman"/>
          <w:lang w:val="fr-FR"/>
        </w:rPr>
        <w:br/>
      </w:r>
      <w:r w:rsidRPr="00F76DFF">
        <w:rPr>
          <w:rFonts w:ascii="Times New Roman" w:hAnsi="Times New Roman" w:cs="Times New Roman"/>
          <w:lang w:val="fr-FR"/>
        </w:rPr>
        <w:br/>
      </w:r>
      <w:r w:rsidRPr="00F76DFF">
        <w:rPr>
          <w:rFonts w:ascii="Times New Roman" w:hAnsi="Times New Roman" w:cs="Times New Roman"/>
          <w:b/>
          <w:bCs/>
          <w:lang w:val="fr-FR"/>
        </w:rPr>
        <w:t>Conformité RGPD</w:t>
      </w:r>
      <w:r w:rsidRPr="00F76DFF">
        <w:rPr>
          <w:rFonts w:ascii="Times New Roman" w:hAnsi="Times New Roman" w:cs="Times New Roman"/>
          <w:lang w:val="fr-FR"/>
        </w:rPr>
        <w:t xml:space="preserve"> : Le traitement repose sur le consentement explicite, conforme aux articles 6.1.a et 9.2.a du RGPD. La collecte se limite aux données nécessaires et aucune information nominative n’est exigée. Les données ne sont pas stockées : le calcul est effectué localement et supprimé à la fermeture de session. L’outil garantit une communication chiffrée, l’absence de traceurs publicitaires et met à disposition des fonctionnalités de gestion des droits (effacement, opposition, contact DPO). L’estimation n’a aucun effet juridique : elle constitue une aide à la décision et reste supervisée par un conseiller humain. La transparence algorithmique est assurée par une description des variables utilisées et un avertissement concernant les limites du modèle. Aucun partage commercial ni discrimination n’est effectué.</w:t>
      </w:r>
      <w:r w:rsidRPr="00F76DFF">
        <w:rPr>
          <w:rFonts w:ascii="Times New Roman" w:hAnsi="Times New Roman" w:cs="Times New Roman"/>
          <w:lang w:val="fr-FR"/>
        </w:rPr>
        <w:br/>
      </w:r>
      <w:r w:rsidRPr="00F76DFF">
        <w:rPr>
          <w:rFonts w:ascii="Times New Roman" w:hAnsi="Times New Roman" w:cs="Times New Roman"/>
          <w:lang w:val="fr-FR"/>
        </w:rPr>
        <w:br/>
      </w:r>
      <w:r w:rsidRPr="00F76DFF">
        <w:rPr>
          <w:rFonts w:ascii="Times New Roman" w:hAnsi="Times New Roman" w:cs="Times New Roman"/>
          <w:b/>
          <w:bCs/>
          <w:lang w:val="fr-FR"/>
        </w:rPr>
        <w:t>Accessibilité</w:t>
      </w:r>
      <w:r w:rsidRPr="00F76DFF">
        <w:rPr>
          <w:rFonts w:ascii="Times New Roman" w:hAnsi="Times New Roman" w:cs="Times New Roman"/>
          <w:lang w:val="fr-FR"/>
        </w:rPr>
        <w:t xml:space="preserve"> : L’outil vise la conformité WCAG 2.1 niveau AA (RGAA 4.1). Trois mesures structurantes sont intégrées : (</w:t>
      </w:r>
      <w:r w:rsidRPr="00F76DFF">
        <w:rPr>
          <w:rFonts w:ascii="Times New Roman" w:hAnsi="Times New Roman" w:cs="Times New Roman"/>
          <w:b/>
          <w:bCs/>
          <w:lang w:val="fr-FR"/>
        </w:rPr>
        <w:t>1</w:t>
      </w:r>
      <w:r w:rsidRPr="00F76DFF">
        <w:rPr>
          <w:rFonts w:ascii="Times New Roman" w:hAnsi="Times New Roman" w:cs="Times New Roman"/>
          <w:lang w:val="fr-FR"/>
        </w:rPr>
        <w:t>) un contraste suffisant et une lisibilité renforcée, incluant des indicateurs non coloriels pour les erreurs ; (</w:t>
      </w:r>
      <w:r w:rsidRPr="00F76DFF">
        <w:rPr>
          <w:rFonts w:ascii="Times New Roman" w:hAnsi="Times New Roman" w:cs="Times New Roman"/>
          <w:b/>
          <w:bCs/>
          <w:lang w:val="fr-FR"/>
        </w:rPr>
        <w:t>2</w:t>
      </w:r>
      <w:r w:rsidRPr="00F76DFF">
        <w:rPr>
          <w:rFonts w:ascii="Times New Roman" w:hAnsi="Times New Roman" w:cs="Times New Roman"/>
          <w:lang w:val="fr-FR"/>
        </w:rPr>
        <w:t>) une navigation entièrement accessible au clavier, compatible avec les lecteurs d’écran grâce aux labels, aria-live et un ordre de tabulation cohérent ; (</w:t>
      </w:r>
      <w:r w:rsidRPr="00F76DFF">
        <w:rPr>
          <w:rFonts w:ascii="Times New Roman" w:hAnsi="Times New Roman" w:cs="Times New Roman"/>
          <w:b/>
          <w:bCs/>
          <w:lang w:val="fr-FR"/>
        </w:rPr>
        <w:t>3</w:t>
      </w:r>
      <w:r w:rsidRPr="00F76DFF">
        <w:rPr>
          <w:rFonts w:ascii="Times New Roman" w:hAnsi="Times New Roman" w:cs="Times New Roman"/>
          <w:lang w:val="fr-FR"/>
        </w:rPr>
        <w:t>) un langage clair, des infobulles explicatives et une version simplifiée facilitant la compréhension. Les tests prévus incluent audits automatiques, audits manuels et tests utilisateurs incluant des personnes en situation de handicap.</w:t>
      </w:r>
      <w:r w:rsidRPr="00F76DFF">
        <w:rPr>
          <w:rFonts w:ascii="Times New Roman" w:hAnsi="Times New Roman" w:cs="Times New Roman"/>
          <w:lang w:val="fr-FR"/>
        </w:rPr>
        <w:br/>
      </w:r>
      <w:r w:rsidRPr="00F76DFF">
        <w:rPr>
          <w:rFonts w:ascii="Times New Roman" w:hAnsi="Times New Roman" w:cs="Times New Roman"/>
          <w:lang w:val="fr-FR"/>
        </w:rPr>
        <w:br/>
      </w:r>
      <w:r w:rsidRPr="00F76DFF">
        <w:rPr>
          <w:rFonts w:ascii="Times New Roman" w:hAnsi="Times New Roman" w:cs="Times New Roman"/>
          <w:b/>
          <w:bCs/>
          <w:lang w:val="fr-FR"/>
        </w:rPr>
        <w:t>En synthèse</w:t>
      </w:r>
      <w:r w:rsidRPr="00F76DFF">
        <w:rPr>
          <w:rFonts w:ascii="Times New Roman" w:hAnsi="Times New Roman" w:cs="Times New Roman"/>
          <w:lang w:val="fr-FR"/>
        </w:rPr>
        <w:t>, l’outil respecte les exigences majeures du RGPD et applique une démarche proactive d’accessibilité, garantissant une utilisation sécurisée, transparente et inclusive.</w:t>
      </w:r>
    </w:p>
    <w:sectPr w:rsidR="002E11E8" w:rsidRPr="00F76DFF"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F5F9E" w14:textId="77777777" w:rsidR="00E103EB" w:rsidRDefault="00E103EB" w:rsidP="00F76DFF">
      <w:pPr>
        <w:spacing w:after="0" w:line="240" w:lineRule="auto"/>
      </w:pPr>
      <w:r>
        <w:separator/>
      </w:r>
    </w:p>
  </w:endnote>
  <w:endnote w:type="continuationSeparator" w:id="0">
    <w:p w14:paraId="768822B1" w14:textId="77777777" w:rsidR="00E103EB" w:rsidRDefault="00E103EB" w:rsidP="00F76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82EB7" w14:textId="77777777" w:rsidR="00E103EB" w:rsidRDefault="00E103EB" w:rsidP="00F76DFF">
      <w:pPr>
        <w:spacing w:after="0" w:line="240" w:lineRule="auto"/>
      </w:pPr>
      <w:r>
        <w:separator/>
      </w:r>
    </w:p>
  </w:footnote>
  <w:footnote w:type="continuationSeparator" w:id="0">
    <w:p w14:paraId="2415E4AD" w14:textId="77777777" w:rsidR="00E103EB" w:rsidRDefault="00E103EB" w:rsidP="00F76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FFE28" w14:textId="395F237A" w:rsidR="00F76DFF" w:rsidRDefault="00F76DFF">
    <w:pPr>
      <w:pStyle w:val="Header"/>
    </w:pPr>
    <w:r>
      <w:rPr>
        <w:noProof/>
      </w:rPr>
      <mc:AlternateContent>
        <mc:Choice Requires="wps">
          <w:drawing>
            <wp:anchor distT="0" distB="0" distL="0" distR="0" simplePos="0" relativeHeight="251659264" behindDoc="0" locked="0" layoutInCell="1" allowOverlap="1" wp14:anchorId="11E0C502" wp14:editId="4F466196">
              <wp:simplePos x="635" y="635"/>
              <wp:positionH relativeFrom="page">
                <wp:align>right</wp:align>
              </wp:positionH>
              <wp:positionV relativeFrom="page">
                <wp:align>top</wp:align>
              </wp:positionV>
              <wp:extent cx="887095" cy="531495"/>
              <wp:effectExtent l="0" t="0" r="0" b="1905"/>
              <wp:wrapNone/>
              <wp:docPr id="1778177123"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87095" cy="531495"/>
                      </a:xfrm>
                      <a:prstGeom prst="rect">
                        <a:avLst/>
                      </a:prstGeom>
                      <a:noFill/>
                      <a:ln>
                        <a:noFill/>
                      </a:ln>
                    </wps:spPr>
                    <wps:txbx>
                      <w:txbxContent>
                        <w:p w14:paraId="4AD43ADB" w14:textId="4AE2C9E9" w:rsidR="00F76DFF" w:rsidRPr="00F76DFF" w:rsidRDefault="00F76DFF" w:rsidP="00F76DFF">
                          <w:pPr>
                            <w:spacing w:after="0"/>
                            <w:rPr>
                              <w:rFonts w:ascii="Aptos" w:eastAsia="Aptos" w:hAnsi="Aptos" w:cs="Aptos"/>
                              <w:noProof/>
                              <w:color w:val="800080"/>
                              <w:sz w:val="24"/>
                              <w:szCs w:val="24"/>
                            </w:rPr>
                          </w:pPr>
                          <w:r w:rsidRPr="00F76DFF">
                            <w:rPr>
                              <w:rFonts w:ascii="Aptos" w:eastAsia="Aptos" w:hAnsi="Aptos" w:cs="Aptos"/>
                              <w:noProof/>
                              <w:color w:val="800080"/>
                              <w:sz w:val="24"/>
                              <w:szCs w:val="24"/>
                            </w:rPr>
                            <w:t>internal</w:t>
                          </w:r>
                        </w:p>
                      </w:txbxContent>
                    </wps:txbx>
                    <wps:bodyPr rot="0" spcFirstLastPara="0" vertOverflow="overflow" horzOverflow="overflow" vert="horz" wrap="none" lIns="0" tIns="317500" rIns="38100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11E0C502" id="_x0000_t202" coordsize="21600,21600" o:spt="202" path="m,l,21600r21600,l21600,xe">
              <v:stroke joinstyle="miter"/>
              <v:path gradientshapeok="t" o:connecttype="rect"/>
            </v:shapetype>
            <v:shape id="Text Box 2" o:spid="_x0000_s1026" type="#_x0000_t202" alt="internal" style="position:absolute;margin-left:18.65pt;margin-top:0;width:69.85pt;height:41.85pt;z-index:251659264;visibility:visible;mso-wrap-style:none;mso-height-percent:0;mso-wrap-distance-left:0;mso-wrap-distance-top:0;mso-wrap-distance-right:0;mso-wrap-distance-bottom:0;mso-position-horizontal:right;mso-position-horizontal-relative:page;mso-position-vertical:top;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" filled="f" stroked="f">
              <v:fill o:detectmouseclick="t"/>
              <v:textbox style="mso-fit-shape-to-text:t" inset="0,25pt,30pt,0">
                <w:txbxContent>
                  <w:p w14:paraId="4AD43ADB" w14:textId="4AE2C9E9" w:rsidR="00F76DFF" w:rsidRPr="00F76DFF" w:rsidRDefault="00F76DFF" w:rsidP="00F76DFF">
                    <w:pPr>
                      <w:spacing w:after="0"/>
                      <w:rPr>
                        <w:rFonts w:ascii="Aptos" w:eastAsia="Aptos" w:hAnsi="Aptos" w:cs="Aptos"/>
                        <w:noProof/>
                        <w:color w:val="800080"/>
                        <w:sz w:val="24"/>
                        <w:szCs w:val="24"/>
                      </w:rPr>
                    </w:pPr>
                    <w:r w:rsidRPr="00F76DFF">
                      <w:rPr>
                        <w:rFonts w:ascii="Aptos" w:eastAsia="Aptos" w:hAnsi="Aptos" w:cs="Aptos"/>
                        <w:noProof/>
                        <w:color w:val="80008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DC64" w14:textId="48435BAE" w:rsidR="00F76DFF" w:rsidRDefault="00F76DFF">
    <w:pPr>
      <w:pStyle w:val="Header"/>
    </w:pPr>
    <w:r>
      <w:rPr>
        <w:noProof/>
      </w:rPr>
      <mc:AlternateContent>
        <mc:Choice Requires="wps">
          <w:drawing>
            <wp:anchor distT="0" distB="0" distL="0" distR="0" simplePos="0" relativeHeight="251660288" behindDoc="0" locked="0" layoutInCell="1" allowOverlap="1" wp14:anchorId="5B20FFB8" wp14:editId="624B55AA">
              <wp:simplePos x="1143000" y="457200"/>
              <wp:positionH relativeFrom="page">
                <wp:align>right</wp:align>
              </wp:positionH>
              <wp:positionV relativeFrom="page">
                <wp:align>top</wp:align>
              </wp:positionV>
              <wp:extent cx="887095" cy="531495"/>
              <wp:effectExtent l="0" t="0" r="0" b="1905"/>
              <wp:wrapNone/>
              <wp:docPr id="759047914"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87095" cy="531495"/>
                      </a:xfrm>
                      <a:prstGeom prst="rect">
                        <a:avLst/>
                      </a:prstGeom>
                      <a:noFill/>
                      <a:ln>
                        <a:noFill/>
                      </a:ln>
                    </wps:spPr>
                    <wps:txbx>
                      <w:txbxContent>
                        <w:p w14:paraId="5F0EA9CA" w14:textId="50948964" w:rsidR="00F76DFF" w:rsidRPr="00F76DFF" w:rsidRDefault="00F76DFF" w:rsidP="00F76DFF">
                          <w:pPr>
                            <w:spacing w:after="0"/>
                            <w:rPr>
                              <w:rFonts w:ascii="Aptos" w:eastAsia="Aptos" w:hAnsi="Aptos" w:cs="Aptos"/>
                              <w:noProof/>
                              <w:color w:val="800080"/>
                              <w:sz w:val="24"/>
                              <w:szCs w:val="24"/>
                            </w:rPr>
                          </w:pPr>
                          <w:r w:rsidRPr="00F76DFF">
                            <w:rPr>
                              <w:rFonts w:ascii="Aptos" w:eastAsia="Aptos" w:hAnsi="Aptos" w:cs="Aptos"/>
                              <w:noProof/>
                              <w:color w:val="800080"/>
                              <w:sz w:val="24"/>
                              <w:szCs w:val="24"/>
                            </w:rPr>
                            <w:t>internal</w:t>
                          </w:r>
                        </w:p>
                      </w:txbxContent>
                    </wps:txbx>
                    <wps:bodyPr rot="0" spcFirstLastPara="0" vertOverflow="overflow" horzOverflow="overflow" vert="horz" wrap="none" lIns="0" tIns="317500" rIns="38100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5B20FFB8" id="_x0000_t202" coordsize="21600,21600" o:spt="202" path="m,l,21600r21600,l21600,xe">
              <v:stroke joinstyle="miter"/>
              <v:path gradientshapeok="t" o:connecttype="rect"/>
            </v:shapetype>
            <v:shape id="Text Box 3" o:spid="_x0000_s1027" type="#_x0000_t202" alt="internal" style="position:absolute;margin-left:18.65pt;margin-top:0;width:69.85pt;height:41.85pt;z-index:251660288;visibility:visible;mso-wrap-style:none;mso-height-percent:0;mso-wrap-distance-left:0;mso-wrap-distance-top:0;mso-wrap-distance-right:0;mso-wrap-distance-bottom:0;mso-position-horizontal:right;mso-position-horizontal-relative:page;mso-position-vertical:top;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" filled="f" stroked="f">
              <v:fill o:detectmouseclick="t"/>
              <v:textbox style="mso-fit-shape-to-text:t" inset="0,25pt,30pt,0">
                <w:txbxContent>
                  <w:p w14:paraId="5F0EA9CA" w14:textId="50948964" w:rsidR="00F76DFF" w:rsidRPr="00F76DFF" w:rsidRDefault="00F76DFF" w:rsidP="00F76DFF">
                    <w:pPr>
                      <w:spacing w:after="0"/>
                      <w:rPr>
                        <w:rFonts w:ascii="Aptos" w:eastAsia="Aptos" w:hAnsi="Aptos" w:cs="Aptos"/>
                        <w:noProof/>
                        <w:color w:val="800080"/>
                        <w:sz w:val="24"/>
                        <w:szCs w:val="24"/>
                      </w:rPr>
                    </w:pPr>
                    <w:r w:rsidRPr="00F76DFF">
                      <w:rPr>
                        <w:rFonts w:ascii="Aptos" w:eastAsia="Aptos" w:hAnsi="Aptos" w:cs="Aptos"/>
                        <w:noProof/>
                        <w:color w:val="80008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3E9A" w14:textId="43E61F27" w:rsidR="00F76DFF" w:rsidRDefault="00F76DFF">
    <w:pPr>
      <w:pStyle w:val="Header"/>
    </w:pPr>
    <w:r>
      <w:rPr>
        <w:noProof/>
      </w:rPr>
      <mc:AlternateContent>
        <mc:Choice Requires="wps">
          <w:drawing>
            <wp:anchor distT="0" distB="0" distL="0" distR="0" simplePos="0" relativeHeight="251658240" behindDoc="0" locked="0" layoutInCell="1" allowOverlap="1" wp14:anchorId="6E45EDBD" wp14:editId="74A62822">
              <wp:simplePos x="635" y="635"/>
              <wp:positionH relativeFrom="page">
                <wp:align>right</wp:align>
              </wp:positionH>
              <wp:positionV relativeFrom="page">
                <wp:align>top</wp:align>
              </wp:positionV>
              <wp:extent cx="887095" cy="531495"/>
              <wp:effectExtent l="0" t="0" r="0" b="1905"/>
              <wp:wrapNone/>
              <wp:docPr id="293210019"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87095" cy="531495"/>
                      </a:xfrm>
                      <a:prstGeom prst="rect">
                        <a:avLst/>
                      </a:prstGeom>
                      <a:noFill/>
                      <a:ln>
                        <a:noFill/>
                      </a:ln>
                    </wps:spPr>
                    <wps:txbx>
                      <w:txbxContent>
                        <w:p w14:paraId="6DB310D7" w14:textId="0999F26F" w:rsidR="00F76DFF" w:rsidRPr="00F76DFF" w:rsidRDefault="00F76DFF" w:rsidP="00F76DFF">
                          <w:pPr>
                            <w:spacing w:after="0"/>
                            <w:rPr>
                              <w:rFonts w:ascii="Aptos" w:eastAsia="Aptos" w:hAnsi="Aptos" w:cs="Aptos"/>
                              <w:noProof/>
                              <w:color w:val="800080"/>
                              <w:sz w:val="24"/>
                              <w:szCs w:val="24"/>
                            </w:rPr>
                          </w:pPr>
                          <w:r w:rsidRPr="00F76DFF">
                            <w:rPr>
                              <w:rFonts w:ascii="Aptos" w:eastAsia="Aptos" w:hAnsi="Aptos" w:cs="Aptos"/>
                              <w:noProof/>
                              <w:color w:val="800080"/>
                              <w:sz w:val="24"/>
                              <w:szCs w:val="24"/>
                            </w:rPr>
                            <w:t>internal</w:t>
                          </w:r>
                        </w:p>
                      </w:txbxContent>
                    </wps:txbx>
                    <wps:bodyPr rot="0" spcFirstLastPara="0" vertOverflow="overflow" horzOverflow="overflow" vert="horz" wrap="none" lIns="0" tIns="317500" rIns="38100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6E45EDBD" id="_x0000_t202" coordsize="21600,21600" o:spt="202" path="m,l,21600r21600,l21600,xe">
              <v:stroke joinstyle="miter"/>
              <v:path gradientshapeok="t" o:connecttype="rect"/>
            </v:shapetype>
            <v:shape id="Text Box 1" o:spid="_x0000_s1028" type="#_x0000_t202" alt="internal" style="position:absolute;margin-left:18.65pt;margin-top:0;width:69.85pt;height:41.85pt;z-index:251658240;visibility:visible;mso-wrap-style:none;mso-height-percent:0;mso-wrap-distance-left:0;mso-wrap-distance-top:0;mso-wrap-distance-right:0;mso-wrap-distance-bottom:0;mso-position-horizontal:right;mso-position-horizontal-relative:page;mso-position-vertical:top;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" filled="f" stroked="f">
              <v:fill o:detectmouseclick="t"/>
              <v:textbox style="mso-fit-shape-to-text:t" inset="0,25pt,30pt,0">
                <w:txbxContent>
                  <w:p w14:paraId="6DB310D7" w14:textId="0999F26F" w:rsidR="00F76DFF" w:rsidRPr="00F76DFF" w:rsidRDefault="00F76DFF" w:rsidP="00F76DFF">
                    <w:pPr>
                      <w:spacing w:after="0"/>
                      <w:rPr>
                        <w:rFonts w:ascii="Aptos" w:eastAsia="Aptos" w:hAnsi="Aptos" w:cs="Aptos"/>
                        <w:noProof/>
                        <w:color w:val="800080"/>
                        <w:sz w:val="24"/>
                        <w:szCs w:val="24"/>
                      </w:rPr>
                    </w:pPr>
                    <w:r w:rsidRPr="00F76DFF">
                      <w:rPr>
                        <w:rFonts w:ascii="Aptos" w:eastAsia="Aptos" w:hAnsi="Aptos" w:cs="Aptos"/>
                        <w:noProof/>
                        <w:color w:val="80008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426765">
    <w:abstractNumId w:val="8"/>
  </w:num>
  <w:num w:numId="2" w16cid:durableId="1501457685">
    <w:abstractNumId w:val="6"/>
  </w:num>
  <w:num w:numId="3" w16cid:durableId="823278984">
    <w:abstractNumId w:val="5"/>
  </w:num>
  <w:num w:numId="4" w16cid:durableId="916286724">
    <w:abstractNumId w:val="4"/>
  </w:num>
  <w:num w:numId="5" w16cid:durableId="1036393715">
    <w:abstractNumId w:val="7"/>
  </w:num>
  <w:num w:numId="6" w16cid:durableId="932396629">
    <w:abstractNumId w:val="3"/>
  </w:num>
  <w:num w:numId="7" w16cid:durableId="211042903">
    <w:abstractNumId w:val="2"/>
  </w:num>
  <w:num w:numId="8" w16cid:durableId="737048083">
    <w:abstractNumId w:val="1"/>
  </w:num>
  <w:num w:numId="9" w16cid:durableId="178160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1E8"/>
    <w:rsid w:val="00326F90"/>
    <w:rsid w:val="00AA1D8D"/>
    <w:rsid w:val="00B47730"/>
    <w:rsid w:val="00BE02C3"/>
    <w:rsid w:val="00CB0664"/>
    <w:rsid w:val="00E103EB"/>
    <w:rsid w:val="00F76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6D530"/>
  <w14:defaultImageDpi w14:val="300"/>
  <w15:docId w15:val="{2E164739-34C0-4D9C-AEA5-C9F00397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 Saifillah</cp:lastModifiedBy>
  <cp:revision>3</cp:revision>
  <dcterms:created xsi:type="dcterms:W3CDTF">2013-12-23T23:15:00Z</dcterms:created>
  <dcterms:modified xsi:type="dcterms:W3CDTF">2026-03-13T10:28:00Z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117a07a3,69fcd463,2d3e26ea</vt:lpwstr>
  </property>
  <property fmtid="{D5CDD505-2E9C-101B-9397-08002B2CF9AE}" pid="3" name="ClassificationContentMarkingHeaderFontProps">
    <vt:lpwstr>#800080,12,Aptos</vt:lpwstr>
  </property>
  <property fmtid="{D5CDD505-2E9C-101B-9397-08002B2CF9AE}" pid="4" name="ClassificationContentMarkingHeaderText">
    <vt:lpwstr>internal</vt:lpwstr>
  </property>
  <property fmtid="{D5CDD505-2E9C-101B-9397-08002B2CF9AE}" pid="5" name="MSIP_Label_279dc149-7c28-4bdf-88ba-07214dba9bb1_Enabled">
    <vt:lpwstr>true</vt:lpwstr>
  </property>
  <property fmtid="{D5CDD505-2E9C-101B-9397-08002B2CF9AE}" pid="6" name="MSIP_Label_279dc149-7c28-4bdf-88ba-07214dba9bb1_SetDate">
    <vt:lpwstr>2026-03-13T10:25:59Z</vt:lpwstr>
  </property>
  <property fmtid="{D5CDD505-2E9C-101B-9397-08002B2CF9AE}" pid="7" name="MSIP_Label_279dc149-7c28-4bdf-88ba-07214dba9bb1_Method">
    <vt:lpwstr>Privileged</vt:lpwstr>
  </property>
  <property fmtid="{D5CDD505-2E9C-101B-9397-08002B2CF9AE}" pid="8" name="MSIP_Label_279dc149-7c28-4bdf-88ba-07214dba9bb1_Name">
    <vt:lpwstr>279dc149-7c28-4bdf-88ba-07214dba9bb1</vt:lpwstr>
  </property>
  <property fmtid="{D5CDD505-2E9C-101B-9397-08002B2CF9AE}" pid="9" name="MSIP_Label_279dc149-7c28-4bdf-88ba-07214dba9bb1_SiteId">
    <vt:lpwstr>49618402-6ea3-441d-957d-7df8773fee54</vt:lpwstr>
  </property>
  <property fmtid="{D5CDD505-2E9C-101B-9397-08002B2CF9AE}" pid="10" name="MSIP_Label_279dc149-7c28-4bdf-88ba-07214dba9bb1_ActionId">
    <vt:lpwstr>1c365bad-4ecd-4ccf-acf3-6443534eee2e</vt:lpwstr>
  </property>
  <property fmtid="{D5CDD505-2E9C-101B-9397-08002B2CF9AE}" pid="11" name="MSIP_Label_279dc149-7c28-4bdf-88ba-07214dba9bb1_ContentBits">
    <vt:lpwstr>1</vt:lpwstr>
  </property>
  <property fmtid="{D5CDD505-2E9C-101B-9397-08002B2CF9AE}" pid="12" name="MSIP_Label_279dc149-7c28-4bdf-88ba-07214dba9bb1_Tag">
    <vt:lpwstr>10, 0, 1, 1</vt:lpwstr>
  </property>
</Properties>
</file>