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021A" w:rsidRDefault="00E7021A">
      <w:pPr>
        <w:rPr>
          <w:sz w:val="28"/>
        </w:rPr>
      </w:pPr>
      <w:r w:rsidRPr="00E7021A">
        <w:rPr>
          <w:sz w:val="28"/>
        </w:rPr>
        <w:t>Обозначение изделия</w:t>
      </w:r>
    </w:p>
    <w:p w:rsidR="00E7021A" w:rsidRDefault="00E7021A">
      <w:pPr>
        <w:rPr>
          <w:sz w:val="28"/>
        </w:rPr>
      </w:pPr>
      <w:r>
        <w:rPr>
          <w:sz w:val="28"/>
        </w:rPr>
        <w:t xml:space="preserve">В соответствии ГОСТ2.201-80, каждому изделию должно быть присвоено уникальное обозначение. Стандартом установлено единая обезличенная классификационная система обозначения изделий. Классификатор ЕСКД. Структура обозначения изделия и его конструкторского документа содержит трёх- или </w:t>
      </w:r>
      <w:proofErr w:type="gramStart"/>
      <w:r>
        <w:rPr>
          <w:sz w:val="28"/>
        </w:rPr>
        <w:t xml:space="preserve">четырёх- </w:t>
      </w:r>
      <w:proofErr w:type="spellStart"/>
      <w:r>
        <w:rPr>
          <w:sz w:val="28"/>
        </w:rPr>
        <w:t>значный</w:t>
      </w:r>
      <w:proofErr w:type="spellEnd"/>
      <w:proofErr w:type="gramEnd"/>
      <w:r>
        <w:rPr>
          <w:sz w:val="28"/>
        </w:rPr>
        <w:t xml:space="preserve"> код организации разработчика, шестизначный код классификационной характеристики, трёхзначный порядковый регистрационной номер, и шифр документа. </w:t>
      </w:r>
    </w:p>
    <w:p w:rsidR="00E7021A" w:rsidRDefault="00E7021A">
      <w:pPr>
        <w:rPr>
          <w:sz w:val="28"/>
        </w:rPr>
      </w:pPr>
      <w:r>
        <w:rPr>
          <w:noProof/>
        </w:rPr>
        <w:drawing>
          <wp:inline distT="0" distB="0" distL="0" distR="0" wp14:anchorId="0185BF5A" wp14:editId="75C6D879">
            <wp:extent cx="4457700" cy="3251638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265" t="19613" r="36376" b="17674"/>
                    <a:stretch/>
                  </pic:blipFill>
                  <pic:spPr bwMode="auto">
                    <a:xfrm>
                      <a:off x="0" y="0"/>
                      <a:ext cx="4475380" cy="326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21A" w:rsidRDefault="00E7021A">
      <w:pPr>
        <w:rPr>
          <w:sz w:val="28"/>
        </w:rPr>
      </w:pPr>
      <w:r>
        <w:rPr>
          <w:sz w:val="28"/>
        </w:rPr>
        <w:t xml:space="preserve">Буквенный код организации разработчика назначается по классификатору этой организации или присваивается централизованно. Код классификационной характеристики </w:t>
      </w:r>
      <w:r w:rsidR="00702E6C">
        <w:rPr>
          <w:sz w:val="28"/>
        </w:rPr>
        <w:t xml:space="preserve">присваивается изделию и его конструкторскому документу по классификатору ЕСКД. </w:t>
      </w:r>
    </w:p>
    <w:p w:rsidR="00702E6C" w:rsidRDefault="00702E6C">
      <w:pPr>
        <w:rPr>
          <w:sz w:val="28"/>
        </w:rPr>
      </w:pPr>
      <w:r>
        <w:rPr>
          <w:sz w:val="28"/>
        </w:rPr>
        <w:t>При классификации изделий использовались следующие признаки:</w:t>
      </w:r>
    </w:p>
    <w:p w:rsidR="00702E6C" w:rsidRDefault="00702E6C" w:rsidP="00702E6C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>Функциональный признак</w:t>
      </w:r>
    </w:p>
    <w:p w:rsidR="00702E6C" w:rsidRDefault="00702E6C" w:rsidP="00702E6C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>Признак служебного назначения</w:t>
      </w:r>
    </w:p>
    <w:p w:rsidR="00702E6C" w:rsidRDefault="00702E6C" w:rsidP="00702E6C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>Принцип действия</w:t>
      </w:r>
    </w:p>
    <w:p w:rsidR="00702E6C" w:rsidRDefault="00702E6C" w:rsidP="00702E6C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>Конструктивный признак</w:t>
      </w:r>
    </w:p>
    <w:p w:rsidR="00702E6C" w:rsidRDefault="00702E6C" w:rsidP="00702E6C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>Параметрический признак</w:t>
      </w:r>
    </w:p>
    <w:p w:rsidR="00702E6C" w:rsidRDefault="00702E6C" w:rsidP="00702E6C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>Геометрическая форма</w:t>
      </w:r>
    </w:p>
    <w:p w:rsidR="00702E6C" w:rsidRDefault="00702E6C" w:rsidP="00702E6C">
      <w:pPr>
        <w:rPr>
          <w:sz w:val="28"/>
        </w:rPr>
      </w:pPr>
      <w:r>
        <w:rPr>
          <w:sz w:val="28"/>
        </w:rPr>
        <w:t>Порядковый регистрационный номер присваивается изделию по классификационной характеристике от 1 до 10.</w:t>
      </w:r>
    </w:p>
    <w:p w:rsidR="00702E6C" w:rsidRDefault="00702E6C" w:rsidP="00702E6C">
      <w:pPr>
        <w:rPr>
          <w:sz w:val="28"/>
        </w:rPr>
      </w:pPr>
      <w:r>
        <w:rPr>
          <w:sz w:val="28"/>
        </w:rPr>
        <w:lastRenderedPageBreak/>
        <w:t xml:space="preserve">Шифр документа вводится в обозначение неосновных конструкторских документов и не должен содержать более четырёх знаков, включая номер части документа. </w:t>
      </w:r>
    </w:p>
    <w:p w:rsidR="00F4696C" w:rsidRDefault="00F4696C" w:rsidP="00F4696C">
      <w:pPr>
        <w:jc w:val="center"/>
        <w:rPr>
          <w:sz w:val="28"/>
        </w:rPr>
      </w:pPr>
      <w:r>
        <w:rPr>
          <w:sz w:val="28"/>
        </w:rPr>
        <w:t>Виды конструкторских документов.</w:t>
      </w:r>
    </w:p>
    <w:p w:rsidR="00F4696C" w:rsidRDefault="00F4696C" w:rsidP="00F4696C">
      <w:pPr>
        <w:rPr>
          <w:sz w:val="28"/>
        </w:rPr>
      </w:pPr>
      <w:r>
        <w:rPr>
          <w:sz w:val="28"/>
        </w:rPr>
        <w:t>Виды и комплектность конструкторских документов на изделие всех отраслей промышленности устанавливает ГОСТ 2.102-2013</w:t>
      </w:r>
    </w:p>
    <w:p w:rsidR="00F4696C" w:rsidRDefault="00F4696C" w:rsidP="00F4696C">
      <w:pPr>
        <w:rPr>
          <w:sz w:val="28"/>
        </w:rPr>
      </w:pPr>
      <w:r>
        <w:rPr>
          <w:sz w:val="28"/>
        </w:rPr>
        <w:t>К конструкторским документам относят: графические и текстовые документы, которые в отдельности или в совокупности определяют состав, и устройство изделия и содержат необходимые данные для его разработки, приёмки, эксплуатации и ремонта. К основным конструкторским документам относятся чертёж и спецификация. Все остальные виды документации считаются неосновными: чертёж детали, электромонтажный чертёж, монтажный чертёж, схема и т.д.</w:t>
      </w:r>
    </w:p>
    <w:p w:rsidR="00F4696C" w:rsidRDefault="00F4696C" w:rsidP="00F4696C">
      <w:pPr>
        <w:rPr>
          <w:sz w:val="28"/>
        </w:rPr>
      </w:pPr>
      <w:r>
        <w:rPr>
          <w:sz w:val="28"/>
        </w:rPr>
        <w:t>Стадии разработки конструкторских документов и этапы выполнения работ</w:t>
      </w:r>
      <w:r w:rsidR="00787547">
        <w:rPr>
          <w:sz w:val="28"/>
        </w:rPr>
        <w:t xml:space="preserve"> устанавливает ГОСТ 2.103-2013 В следующей последовательности:</w:t>
      </w:r>
    </w:p>
    <w:p w:rsidR="00787547" w:rsidRDefault="00787547" w:rsidP="00787547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</w:rPr>
        <w:t>Техническое предложение — совокупность конструкторских документов, которые должны содержать технические и технико-экономические требования целесообразности разработки документации изделия. Объём работ на этом этапе определяется по ГОСТ 2.118-2013</w:t>
      </w:r>
    </w:p>
    <w:p w:rsidR="00787547" w:rsidRDefault="00787547" w:rsidP="00787547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Эскизные проект — это совокупность конструкторских документов, которые должны содержать принципиальные конструктивные решения, дающие общее представление об устройстве и принципе действия изделия, данные, определяющие назначение, основные параметры и габариты изделия. Объём работ определяется по </w:t>
      </w:r>
      <w:r>
        <w:rPr>
          <w:sz w:val="28"/>
        </w:rPr>
        <w:t>ГОСТ 2.11</w:t>
      </w:r>
      <w:r>
        <w:rPr>
          <w:sz w:val="28"/>
        </w:rPr>
        <w:t>9</w:t>
      </w:r>
      <w:r>
        <w:rPr>
          <w:sz w:val="28"/>
        </w:rPr>
        <w:t>-2013</w:t>
      </w:r>
    </w:p>
    <w:p w:rsidR="00F9578A" w:rsidRDefault="00787547" w:rsidP="00F9578A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</w:rPr>
        <w:t>Технический проект — это совокупность конструкторских документов, которые должны содержать окончательные технические р</w:t>
      </w:r>
      <w:r w:rsidR="00F9578A">
        <w:rPr>
          <w:sz w:val="28"/>
        </w:rPr>
        <w:t>е</w:t>
      </w:r>
      <w:r>
        <w:rPr>
          <w:sz w:val="28"/>
        </w:rPr>
        <w:t>шения, дающие полное представление об устройстве</w:t>
      </w:r>
      <w:r w:rsidR="00F9578A">
        <w:rPr>
          <w:sz w:val="28"/>
        </w:rPr>
        <w:t xml:space="preserve"> разрабатываемого изделия. Чертежи общих видов, входящие в состав технического проекта, должны содержать исходные данные для выполнения по ним рабочей документации. Объём работ определяется по ГОСТ 2.120-2013</w:t>
      </w:r>
    </w:p>
    <w:p w:rsidR="00F9578A" w:rsidRDefault="00F9578A" w:rsidP="00F9578A">
      <w:pPr>
        <w:pStyle w:val="a3"/>
        <w:numPr>
          <w:ilvl w:val="0"/>
          <w:numId w:val="2"/>
        </w:numPr>
        <w:rPr>
          <w:sz w:val="28"/>
        </w:rPr>
      </w:pPr>
      <w:r w:rsidRPr="00F9578A">
        <w:rPr>
          <w:sz w:val="28"/>
        </w:rPr>
        <w:t xml:space="preserve">Разработка </w:t>
      </w:r>
      <w:r>
        <w:rPr>
          <w:sz w:val="28"/>
        </w:rPr>
        <w:t xml:space="preserve">рабочей конструкторской документации — окончательная стадия проектирования, когда создаются документы, необходимые для изготовления, сборки и контроля изделий в процессе производства и ремонта в период эксплуатации. </w:t>
      </w:r>
    </w:p>
    <w:p w:rsidR="00F9578A" w:rsidRPr="00F9578A" w:rsidRDefault="00F9578A" w:rsidP="00F9578A">
      <w:pPr>
        <w:jc w:val="center"/>
        <w:rPr>
          <w:sz w:val="28"/>
        </w:rPr>
      </w:pPr>
      <w:r>
        <w:rPr>
          <w:sz w:val="28"/>
        </w:rPr>
        <w:lastRenderedPageBreak/>
        <w:t>Стандарты оформления чертежей.</w:t>
      </w:r>
    </w:p>
    <w:p w:rsidR="00F9578A" w:rsidRPr="00F9578A" w:rsidRDefault="00F9578A" w:rsidP="00F9578A">
      <w:pPr>
        <w:rPr>
          <w:sz w:val="28"/>
        </w:rPr>
      </w:pPr>
      <w:r>
        <w:rPr>
          <w:sz w:val="28"/>
        </w:rPr>
        <w:t xml:space="preserve">Формат — это размер конструкторского документа. Форматы подразделяются на основные и дополнительные. </w:t>
      </w:r>
    </w:p>
    <w:p w:rsidR="00787547" w:rsidRDefault="00F9578A" w:rsidP="00F4696C">
      <w:pPr>
        <w:rPr>
          <w:sz w:val="28"/>
        </w:rPr>
      </w:pPr>
      <w:r>
        <w:rPr>
          <w:sz w:val="28"/>
        </w:rPr>
        <w:t>Форматы листов определяются размерами внешней рамки, выполненной линии не менее 0,7</w:t>
      </w:r>
      <w:r w:rsidR="000F0662">
        <w:rPr>
          <w:sz w:val="28"/>
        </w:rPr>
        <w:t xml:space="preserve">мм. </w:t>
      </w:r>
    </w:p>
    <w:p w:rsidR="000F0662" w:rsidRDefault="000F0662" w:rsidP="00F4696C">
      <w:pPr>
        <w:rPr>
          <w:sz w:val="28"/>
        </w:rPr>
      </w:pPr>
      <w:r w:rsidRPr="000F0662">
        <w:rPr>
          <w:sz w:val="28"/>
        </w:rPr>
        <w:drawing>
          <wp:inline distT="0" distB="0" distL="0" distR="0" wp14:anchorId="13F13CD8" wp14:editId="66AC16CD">
            <wp:extent cx="5341156" cy="38938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1848" cy="390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96C" w:rsidRDefault="000F0662" w:rsidP="00F4696C">
      <w:pPr>
        <w:rPr>
          <w:sz w:val="28"/>
        </w:rPr>
      </w:pPr>
      <w:r w:rsidRPr="000F0662">
        <w:rPr>
          <w:sz w:val="28"/>
        </w:rPr>
        <w:drawing>
          <wp:inline distT="0" distB="0" distL="0" distR="0" wp14:anchorId="7A3C7526" wp14:editId="4ABA39AC">
            <wp:extent cx="5340985" cy="3728698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6039" cy="374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62" w:rsidRDefault="000F0662" w:rsidP="00F4696C">
      <w:pPr>
        <w:rPr>
          <w:sz w:val="28"/>
        </w:rPr>
      </w:pPr>
      <w:r>
        <w:rPr>
          <w:sz w:val="28"/>
        </w:rPr>
        <w:lastRenderedPageBreak/>
        <w:t>А4 можно использовать только в вертикально ориентации</w:t>
      </w:r>
    </w:p>
    <w:p w:rsidR="000F0662" w:rsidRDefault="000F0662" w:rsidP="00F4696C">
      <w:pPr>
        <w:rPr>
          <w:sz w:val="28"/>
        </w:rPr>
      </w:pPr>
      <w:r>
        <w:rPr>
          <w:sz w:val="28"/>
        </w:rPr>
        <w:t xml:space="preserve">Допускается применение дополнительных форматов, образуемых увеличением коротких сторон </w:t>
      </w:r>
      <w:r w:rsidR="00426406">
        <w:rPr>
          <w:sz w:val="28"/>
        </w:rPr>
        <w:t xml:space="preserve">основных форматов на величину, кратную их размерам. </w:t>
      </w:r>
    </w:p>
    <w:p w:rsidR="00426406" w:rsidRDefault="00426406" w:rsidP="00F4696C">
      <w:pPr>
        <w:rPr>
          <w:sz w:val="28"/>
        </w:rPr>
      </w:pPr>
      <w:r>
        <w:rPr>
          <w:sz w:val="28"/>
        </w:rPr>
        <w:t xml:space="preserve">Масштаб — это отношение линейных размеров, изображённых на чертеже предметов к его истинным размерам. Предпочтительно выполнять чертежи в масштабе 1:1. В зависимости от величины и сложности изделия или от вида чертежа иногда размеры изображения увеличивают или уменьшают по сравнению с истинными размерами. Кроме численных масштабов существуют линейные и угловые масштабы. Устанавливаются следующие масштабы: </w:t>
      </w:r>
      <w:r w:rsidRPr="00426406">
        <w:rPr>
          <w:sz w:val="28"/>
        </w:rPr>
        <w:drawing>
          <wp:inline distT="0" distB="0" distL="0" distR="0" wp14:anchorId="1F20C3BC" wp14:editId="6A529ABD">
            <wp:extent cx="5940425" cy="40855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E6C" w:rsidRDefault="00702E6C" w:rsidP="00702E6C">
      <w:pPr>
        <w:rPr>
          <w:sz w:val="28"/>
        </w:rPr>
      </w:pPr>
      <w:bookmarkStart w:id="0" w:name="_GoBack"/>
      <w:bookmarkEnd w:id="0"/>
    </w:p>
    <w:p w:rsidR="00702E6C" w:rsidRDefault="00702E6C" w:rsidP="00702E6C">
      <w:pPr>
        <w:rPr>
          <w:sz w:val="28"/>
        </w:rPr>
      </w:pPr>
    </w:p>
    <w:p w:rsidR="00702E6C" w:rsidRDefault="00702E6C" w:rsidP="00702E6C">
      <w:pPr>
        <w:rPr>
          <w:sz w:val="28"/>
        </w:rPr>
      </w:pPr>
    </w:p>
    <w:p w:rsidR="00702E6C" w:rsidRDefault="00702E6C" w:rsidP="00702E6C">
      <w:pPr>
        <w:rPr>
          <w:sz w:val="28"/>
        </w:rPr>
      </w:pPr>
    </w:p>
    <w:p w:rsidR="00702E6C" w:rsidRDefault="00702E6C" w:rsidP="00702E6C">
      <w:pPr>
        <w:rPr>
          <w:sz w:val="28"/>
        </w:rPr>
      </w:pPr>
    </w:p>
    <w:p w:rsidR="00702E6C" w:rsidRDefault="00702E6C" w:rsidP="00702E6C">
      <w:pPr>
        <w:rPr>
          <w:sz w:val="28"/>
        </w:rPr>
      </w:pPr>
    </w:p>
    <w:p w:rsidR="00702E6C" w:rsidRDefault="00702E6C" w:rsidP="00702E6C">
      <w:pPr>
        <w:rPr>
          <w:sz w:val="28"/>
        </w:rPr>
      </w:pPr>
    </w:p>
    <w:p w:rsidR="00702E6C" w:rsidRPr="00702E6C" w:rsidRDefault="00702E6C" w:rsidP="00702E6C">
      <w:pPr>
        <w:rPr>
          <w:sz w:val="28"/>
        </w:rPr>
      </w:pPr>
    </w:p>
    <w:sectPr w:rsidR="00702E6C" w:rsidRPr="00702E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77B3A"/>
    <w:multiLevelType w:val="hybridMultilevel"/>
    <w:tmpl w:val="5BE017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5B1583"/>
    <w:multiLevelType w:val="hybridMultilevel"/>
    <w:tmpl w:val="201AE5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21A"/>
    <w:rsid w:val="000F0662"/>
    <w:rsid w:val="00426406"/>
    <w:rsid w:val="00702E6C"/>
    <w:rsid w:val="00787547"/>
    <w:rsid w:val="00E7021A"/>
    <w:rsid w:val="00F4696C"/>
    <w:rsid w:val="00F95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B5B68E"/>
  <w15:chartTrackingRefBased/>
  <w15:docId w15:val="{B62FDF5F-779A-4A73-BEE6-B39FB4FFC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2E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578</Words>
  <Characters>3301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Макаренков Вячеслав Сергеевич</dc:creator>
  <cp:keywords/>
  <dc:description/>
  <cp:lastModifiedBy>Макаренков Вячеслав Сергеевич</cp:lastModifiedBy>
  <cp:revision>2</cp:revision>
  <dcterms:created xsi:type="dcterms:W3CDTF">2022-02-14T05:38:00Z</dcterms:created>
  <dcterms:modified xsi:type="dcterms:W3CDTF">2022-02-14T07:07:00Z</dcterms:modified>
</cp:coreProperties>
</file>