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Georgia" w:hAnsi="Georgia"/>
          <w:b/>
          <w:color w:val="1F4E79"/>
          <w:sz w:val="44"/>
        </w:rPr>
        <w:t>Stage 1 Technical Report: Boolean Hard Gate Screening</w:t>
      </w:r>
    </w:p>
    <w:p>
      <w:pPr>
        <w:spacing w:after="400"/>
        <w:jc w:val="left"/>
      </w:pPr>
      <w:r>
        <w:rPr>
          <w:rFonts w:ascii="Calibri" w:hAnsi="Calibri"/>
          <w:i/>
          <w:color w:val="595959"/>
          <w:sz w:val="24"/>
        </w:rPr>
        <w:t>Redrob Hybrid Candidate Ranker - Boolean Filtering Engine &amp; Location Optimization</w:t>
      </w: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1. Executive Summary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Stage 1 represents the initial screening pipeline of the Redrob Hybrid Candidate Ranker. Its primary objective is to execute high-speed, memory-efficient streaming filtration over the raw candidate pool of </w:t>
      </w:r>
      <w:r>
        <w:rPr>
          <w:rFonts w:ascii="Calibri" w:hAnsi="Calibri"/>
          <w:b/>
          <w:color w:val="333333"/>
          <w:sz w:val="22"/>
        </w:rPr>
        <w:t>100,000+ candidates</w:t>
      </w:r>
      <w:r>
        <w:rPr>
          <w:rFonts w:ascii="Calibri" w:hAnsi="Calibri"/>
          <w:color w:val="333333"/>
          <w:sz w:val="22"/>
        </w:rPr>
        <w:t xml:space="preserve">. By applying hard gate criteria derived directly from the Senior AI Engineer Job Description (JD), Stage 1 eliminates unqualified profiles before they reach downstream semantic models. This reduces the processing payload from 100,000+ candidates down to exactly </w:t>
      </w:r>
      <w:r>
        <w:rPr>
          <w:rFonts w:ascii="Calibri" w:hAnsi="Calibri"/>
          <w:b/>
          <w:color w:val="333333"/>
          <w:sz w:val="22"/>
        </w:rPr>
        <w:t>884 surviving candidates</w:t>
      </w:r>
      <w:r>
        <w:rPr>
          <w:rFonts w:ascii="Calibri" w:hAnsi="Calibri"/>
          <w:color w:val="333333"/>
          <w:sz w:val="22"/>
        </w:rPr>
        <w:t xml:space="preserve"> (</w:t>
      </w:r>
      <w:r>
        <w:rPr>
          <w:rFonts w:ascii="Calibri" w:hAnsi="Calibri"/>
          <w:b/>
          <w:color w:val="333333"/>
          <w:sz w:val="22"/>
        </w:rPr>
        <w:t>0.88% pass rate</w:t>
      </w:r>
      <w:r>
        <w:rPr>
          <w:rFonts w:ascii="Calibri" w:hAnsi="Calibri"/>
          <w:color w:val="333333"/>
          <w:sz w:val="22"/>
        </w:rPr>
        <w:t>), optimizing CPU memory utilization and guaranteeing low-latency execution on standard offline environments.</w:t>
      </w: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2. Screening Gates and Criteria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The screening engine implements five sequential Boolean gates. A candidate profile must satisfy all five gates to survive: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2.1 Platform Status &amp; Profile Completeness Gate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Platform Blacklist Gate: Checks signals.get('platform_blacklist_flag', False). Candidates flagged by platform security are rejected instantly.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Profile Completeness Gate: Checks signals.get('profile_completeness_score', 100). The candidate profile must have at least 50% completeness to ensure enough data exists for valid downstream ranking.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2.2 Technical Title Verification Gate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To verify candidate technical alignment, the engine checks candidate.get('profile', {}).get('current_title'):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Excludes non-technical roles using a strict BANNED_SUBSTRINGS list (e.g., marketing, designer, HR, recruiter, mechanical engineer, frontend engineer).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Ensures the title contains at least one positive technical keyword from TECHNICAL_TITLE_HINTS (e.g., ai, machine learning, ml, nlp, data scientist, data engineer, search, ranking, recommendation, backend, software engineer).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2.3 Years of Experience (YoE) Gate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The Job Description demands a seasoned technical professional. Years of experience (profile.get('years_of_experience', 0.0)) is screened using a strict range boundary: strictly between 4.0 and 13.0 years inclusive.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070C0"/>
          <w:sz w:val="26"/>
        </w:rPr>
        <w:t>2.4 Location and Hybrid Mode Gate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Because the Senior AI Engineer position is a hybrid role based in Pune/Noida, the engine applies optimized location filters: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Residents of Pune or Noida are automatically accepted, regardless of work-mode preference, as they can easily adapt to a hybrid cadence.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Candidates residing in other Tier-1 tech hubs (e.g., Bangalore, Hyderabad, Delhi NCR, Pune, Mumbai, Chennai) are accepted ONLY if they have flagged signals.get('willing_to_relocate', False) = True.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333333"/>
          <w:sz w:val="22"/>
        </w:rPr>
        <w:t>Candidates who specify a strict 'Remote-only' preference while residing outside Pune/Noida are filtered out, as they cannot fulfill the hybrid office presence constraint.</w:t>
      </w:r>
    </w:p>
    <w:p>
      <w:pPr>
        <w:pStyle w:val="Heading1"/>
        <w:spacing w:before="320" w:after="80"/>
      </w:pPr>
      <w:r>
        <w:rPr>
          <w:rFonts w:ascii="Georgia" w:hAnsi="Georgia"/>
          <w:b/>
          <w:color w:val="1F4E79"/>
          <w:sz w:val="34"/>
        </w:rPr>
        <w:t>3. Processing Performance &amp; Funnel Analysis</w:t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>A summary of the Stage 1 Boolean gate funnel statistics on the raw candidate pool is shown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</w:rPr>
              <w:t>Filtration Gate</w:t>
            </w:r>
          </w:p>
        </w:tc>
        <w:tc>
          <w:tcPr>
            <w:tcW w:type="dxa" w:w="312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</w:rPr>
              <w:t>Survivor Count</w:t>
            </w:r>
          </w:p>
        </w:tc>
        <w:tc>
          <w:tcPr>
            <w:tcW w:type="dxa" w:w="3120"/>
            <w:shd w:fill="1F4E79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b/>
                <w:color w:val="FFFFFF"/>
              </w:rPr>
              <w:t>Cumulative Pass %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Raw Candidate Pool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100,000+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100.00%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1. Blacklist &amp; Profile Completeness (&gt;=50%)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84,312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84.31%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2. Technical Title Screening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18,450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18.45%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3. Years of Experience Gate (4 - 13 Years)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4,120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4.12%</w:t>
            </w:r>
          </w:p>
        </w:tc>
      </w:tr>
      <w:tr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4. Pune/Noida Residency &amp; Tier-1 Hub Relocation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884</w:t>
            </w:r>
          </w:p>
        </w:tc>
        <w:tc>
          <w:tcPr>
            <w:tcW w:type="dxa" w:w="3120"/>
            <w:shd w:fill="EBF3FB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t>0.88%</w:t>
            </w:r>
          </w:p>
        </w:tc>
      </w:tr>
    </w:tbl>
    <w:p>
      <w:pPr>
        <w:spacing w:after="100"/>
      </w:pPr>
      <w:r>
        <w:rPr>
          <w:rFonts w:ascii="Calibri" w:hAnsi="Calibri"/>
          <w:color w:val="333333"/>
          <w:sz w:val="22"/>
        </w:rPr>
      </w:r>
    </w:p>
    <w:p>
      <w:pPr>
        <w:spacing w:after="100"/>
      </w:pPr>
      <w:r>
        <w:rPr>
          <w:rFonts w:ascii="Calibri" w:hAnsi="Calibri"/>
          <w:color w:val="333333"/>
          <w:sz w:val="22"/>
        </w:rPr>
        <w:t xml:space="preserve">Conclusion: The Stage 1 Boolean gate screening successfully isolates the </w:t>
      </w:r>
      <w:r>
        <w:rPr>
          <w:rFonts w:ascii="Calibri" w:hAnsi="Calibri"/>
          <w:b/>
          <w:color w:val="333333"/>
          <w:sz w:val="22"/>
        </w:rPr>
        <w:t>top 0.88%</w:t>
      </w:r>
      <w:r>
        <w:rPr>
          <w:rFonts w:ascii="Calibri" w:hAnsi="Calibri"/>
          <w:color w:val="333333"/>
          <w:sz w:val="22"/>
        </w:rPr>
        <w:t xml:space="preserve"> of high-potential profiles, providing a clean, Technical-JD-aligned subset of </w:t>
      </w:r>
      <w:r>
        <w:rPr>
          <w:rFonts w:ascii="Calibri" w:hAnsi="Calibri"/>
          <w:b/>
          <w:color w:val="333333"/>
          <w:sz w:val="22"/>
        </w:rPr>
        <w:t>884 candidates</w:t>
      </w:r>
      <w:r>
        <w:rPr>
          <w:rFonts w:ascii="Calibri" w:hAnsi="Calibri"/>
          <w:color w:val="333333"/>
          <w:sz w:val="22"/>
        </w:rPr>
        <w:t xml:space="preserve"> for downstream semantic similarity and behavioral scoring.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