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Georgia" w:hAnsi="Georgia"/>
          <w:b/>
          <w:color w:val="1F4E79"/>
          <w:sz w:val="56"/>
        </w:rPr>
        <w:t>Redrob Hybrid Ranker</w:t>
      </w:r>
    </w:p>
    <w:p>
      <w:pPr>
        <w:spacing w:after="40"/>
        <w:jc w:val="left"/>
      </w:pPr>
      <w:r>
        <w:rPr>
          <w:rFonts w:ascii="Calibri" w:hAnsi="Calibri"/>
          <w:i/>
          <w:color w:val="595959"/>
          <w:sz w:val="30"/>
        </w:rPr>
        <w:t>Stage 2 Enhancement Report — June 2026</w:t>
      </w:r>
    </w:p>
    <w:p>
      <w:pPr>
        <w:spacing w:after="400"/>
      </w:pPr>
      <w:r>
        <w:rPr>
          <w:rFonts w:ascii="Calibri" w:hAnsi="Calibri"/>
          <w:color w:val="595959"/>
          <w:sz w:val="20"/>
        </w:rPr>
        <w:t>Team 204  |  Submission: team_204.csv  |  Status: READY ✓</w:t>
      </w:r>
    </w:p>
    <w:p>
      <w:pPr>
        <w:pBdr>
          <w:bottom w:val="single" w:sz="4" w:space="1" w:color="1F4E79"/>
        </w:pBdr>
        <w:spacing w:after="160"/>
      </w:pPr>
    </w:p>
    <w:p>
      <w:pPr>
        <w:pStyle w:val="Heading1"/>
        <w:spacing w:before="320" w:after="80"/>
      </w:pPr>
      <w:r>
        <w:rPr>
          <w:rFonts w:ascii="Georgia" w:hAnsi="Georgia"/>
          <w:b/>
          <w:color w:val="1F4E79"/>
          <w:sz w:val="34"/>
        </w:rPr>
        <w:t>1. Overview of Changes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 xml:space="preserve">This report documents the targeted enhancements made to </w:t>
      </w:r>
      <w:r>
        <w:rPr>
          <w:rFonts w:ascii="Calibri" w:hAnsi="Calibri"/>
          <w:b/>
          <w:color w:val="333333"/>
          <w:sz w:val="22"/>
        </w:rPr>
        <w:t>Stage 2</w:t>
      </w:r>
      <w:r>
        <w:rPr>
          <w:rFonts w:ascii="Calibri" w:hAnsi="Calibri"/>
          <w:color w:val="333333"/>
          <w:sz w:val="22"/>
        </w:rPr>
        <w:t xml:space="preserve"> of the Redrob Hybrid Candidate Ranker pipeline. The goal was to improve semantic precision, reduce susceptibility to </w:t>
      </w:r>
      <w:r>
        <w:rPr>
          <w:rFonts w:ascii="Calibri" w:hAnsi="Calibri"/>
          <w:b/>
          <w:color w:val="333333"/>
          <w:sz w:val="22"/>
        </w:rPr>
        <w:t>keyword-stuffing</w:t>
      </w:r>
      <w:r>
        <w:rPr>
          <w:rFonts w:ascii="Calibri" w:hAnsi="Calibri"/>
          <w:color w:val="333333"/>
          <w:sz w:val="22"/>
        </w:rPr>
        <w:t>, and reward candidates who have demonstrably and recently executed relevant AI engineering work.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All changes were implemented, re-scored, and fully validated on 21 June 2026. The submission passed both the official validate_submission.py and the custom audit_submission.py with ZERO errors.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68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3312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Effect</w:t>
            </w:r>
          </w:p>
        </w:tc>
      </w:tr>
      <w:tr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Signal Weights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BM25 ↓  CrossEnc ↑  CoOcc ↑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Semantic fit dominates; lexical noise reduced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Co-occurrence Scoring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Verb score +1.0 → +1.0 (retained)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Balanced execution-proof signal with zero risk</w:t>
            </w:r>
          </w:p>
        </w:tc>
      </w:tr>
      <w:tr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Metric Bonus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None (retained)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Avoids unnormalized scoring bias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Verb List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Removed: designed, led, managed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Only real implementation verbs count</w:t>
            </w:r>
          </w:p>
        </w:tc>
      </w:tr>
      <w:tr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Recency Multiplier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None (retained)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Avoids domain recency penalty on senior talent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JD Anchor Text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1 sentence → 4 sentences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Better Cross-Encoder discrimination</w:t>
            </w:r>
          </w:p>
        </w:tc>
      </w:tr>
      <w:tr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Keyword List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25 → 32 target keywords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Wider vocabulary coverage</w:t>
            </w:r>
          </w:p>
        </w:tc>
      </w:tr>
    </w:tbl>
    <w:p/>
    <w:p>
      <w:pPr>
        <w:pBdr>
          <w:bottom w:val="single" w:sz="4" w:space="1" w:color="1F4E79"/>
        </w:pBdr>
        <w:spacing w:after="160"/>
      </w:pPr>
    </w:p>
    <w:p>
      <w:pPr>
        <w:pStyle w:val="Heading1"/>
        <w:spacing w:before="320" w:after="80"/>
      </w:pPr>
      <w:r>
        <w:rPr>
          <w:rFonts w:ascii="Georgia" w:hAnsi="Georgia"/>
          <w:b/>
          <w:color w:val="1F4E79"/>
          <w:sz w:val="34"/>
        </w:rPr>
        <w:t>2. Signal Blend Weight Changes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 xml:space="preserve">The three relevance signals in Stage 2 are combined using a weighted average. The original weights were calibrated empirically but over-indexed on </w:t>
      </w:r>
      <w:r>
        <w:rPr>
          <w:rFonts w:ascii="Calibri" w:hAnsi="Calibri"/>
          <w:b/>
          <w:color w:val="333333"/>
          <w:sz w:val="22"/>
        </w:rPr>
        <w:t>BM25</w:t>
      </w:r>
      <w:r>
        <w:rPr>
          <w:rFonts w:ascii="Calibri" w:hAnsi="Calibri"/>
          <w:color w:val="333333"/>
          <w:sz w:val="22"/>
        </w:rPr>
        <w:t xml:space="preserve"> (pure keyword frequency). The updated weights shift emphasis toward </w:t>
      </w:r>
      <w:r>
        <w:rPr>
          <w:rFonts w:ascii="Calibri" w:hAnsi="Calibri"/>
          <w:b/>
          <w:color w:val="333333"/>
          <w:sz w:val="22"/>
        </w:rPr>
        <w:t>semantic understanding</w:t>
      </w:r>
      <w:r>
        <w:rPr>
          <w:rFonts w:ascii="Calibri" w:hAnsi="Calibri"/>
          <w:color w:val="333333"/>
          <w:sz w:val="22"/>
        </w:rPr>
        <w:t xml:space="preserve"> and </w:t>
      </w:r>
      <w:r>
        <w:rPr>
          <w:rFonts w:ascii="Calibri" w:hAnsi="Calibri"/>
          <w:b/>
          <w:color w:val="333333"/>
          <w:sz w:val="22"/>
        </w:rPr>
        <w:t>execution evidence</w:t>
      </w:r>
      <w:r>
        <w:rPr>
          <w:rFonts w:ascii="Calibri" w:hAnsi="Calibri"/>
          <w:color w:val="333333"/>
          <w:sz w:val="22"/>
        </w:rPr>
        <w:t>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1584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Old Weight</w:t>
            </w:r>
          </w:p>
        </w:tc>
        <w:tc>
          <w:tcPr>
            <w:tcW w:type="dxa" w:w="1584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New Weight</w:t>
            </w:r>
          </w:p>
        </w:tc>
        <w:tc>
          <w:tcPr>
            <w:tcW w:type="dxa" w:w="3888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34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BM25 (Lexical)</w:t>
            </w:r>
          </w:p>
        </w:tc>
        <w:tc>
          <w:tcPr>
            <w:tcW w:type="dxa" w:w="234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0.28</w:t>
            </w:r>
          </w:p>
        </w:tc>
        <w:tc>
          <w:tcPr>
            <w:tcW w:type="dxa" w:w="234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0.23 ↓</w:t>
            </w:r>
          </w:p>
        </w:tc>
        <w:tc>
          <w:tcPr>
            <w:tcW w:type="dxa" w:w="234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JD warns keyword-stuffers are a trap. Reducing BM25 protects against resume inflation.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Cross-Encoder (Semantic)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0.47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0.50 ↑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The only signal that understands meaning. JD expects reasoning about 'what the JD means', not just keywords.</w:t>
            </w:r>
          </w:p>
        </w:tc>
      </w:tr>
      <w:tr>
        <w:tc>
          <w:tcPr>
            <w:tcW w:type="dxa" w:w="234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Co-occurrence (Execution)</w:t>
            </w:r>
          </w:p>
        </w:tc>
        <w:tc>
          <w:tcPr>
            <w:tcW w:type="dxa" w:w="234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0.25</w:t>
            </w:r>
          </w:p>
        </w:tc>
        <w:tc>
          <w:tcPr>
            <w:tcW w:type="dxa" w:w="234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0.27 ↑</w:t>
            </w:r>
          </w:p>
        </w:tc>
        <w:tc>
          <w:tcPr>
            <w:tcW w:type="dxa" w:w="234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Proof-of-work signal. Detecting real implementation verbs alongside keywords catches genuine contributors.</w:t>
            </w:r>
          </w:p>
        </w:tc>
      </w:tr>
      <w:tr>
        <w:tc>
          <w:tcPr>
            <w:tcW w:type="dxa" w:w="2340"/>
            <w:shd w:fill="FFF2C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Sum</w:t>
            </w:r>
          </w:p>
        </w:tc>
        <w:tc>
          <w:tcPr>
            <w:tcW w:type="dxa" w:w="2340"/>
            <w:shd w:fill="FFF2C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1.00</w:t>
            </w:r>
          </w:p>
        </w:tc>
        <w:tc>
          <w:tcPr>
            <w:tcW w:type="dxa" w:w="2340"/>
            <w:shd w:fill="FFF2C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1.00 ✓</w:t>
            </w:r>
          </w:p>
        </w:tc>
        <w:tc>
          <w:tcPr>
            <w:tcW w:type="dxa" w:w="2340"/>
            <w:shd w:fill="FFF2C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Verified: weights sum to exactly 1.00.</w:t>
            </w:r>
          </w:p>
        </w:tc>
      </w:tr>
    </w:tbl>
    <w:p/>
    <w:p>
      <w:pPr>
        <w:pStyle w:val="Heading2"/>
        <w:spacing w:before="200" w:after="60"/>
      </w:pPr>
      <w:r>
        <w:rPr>
          <w:rFonts w:ascii="Calibri" w:hAnsi="Calibri"/>
          <w:b/>
          <w:color w:val="0070C0"/>
          <w:sz w:val="26"/>
        </w:rPr>
        <w:t>2.1  Why CrossEncoder Got the Highest Weight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The Cross-Encoder model (</w:t>
      </w:r>
      <w:r>
        <w:rPr>
          <w:rFonts w:ascii="Calibri" w:hAnsi="Calibri"/>
          <w:b/>
          <w:color w:val="333333"/>
          <w:sz w:val="22"/>
        </w:rPr>
        <w:t>ms-marco-MiniLM-L-12-v2</w:t>
      </w:r>
      <w:r>
        <w:rPr>
          <w:rFonts w:ascii="Calibri" w:hAnsi="Calibri"/>
          <w:color w:val="333333"/>
          <w:sz w:val="22"/>
        </w:rPr>
        <w:t xml:space="preserve">) reads the JD anchor and the candidate's full career history together and returns a single semantic relevance score. It is the only signal that can detect that 'built a dense retrieval pipeline' is equivalent to 'implemented FAISS-based ANN search', without requiring exact keyword matches. The JD explicitly states the right answer is </w:t>
      </w:r>
      <w:r>
        <w:rPr>
          <w:rFonts w:ascii="Calibri" w:hAnsi="Calibri"/>
          <w:b/>
          <w:color w:val="333333"/>
          <w:sz w:val="22"/>
        </w:rPr>
        <w:t>not to find candidates whose skills section contains the most AI keywords</w:t>
      </w:r>
      <w:r>
        <w:rPr>
          <w:rFonts w:ascii="Calibri" w:hAnsi="Calibri"/>
          <w:color w:val="333333"/>
          <w:sz w:val="22"/>
        </w:rPr>
        <w:t xml:space="preserve"> — making semantic understanding the most defensible primary signal.</w:t>
      </w:r>
    </w:p>
    <w:p>
      <w:pPr>
        <w:pBdr>
          <w:bottom w:val="single" w:sz="4" w:space="1" w:color="1F4E79"/>
        </w:pBdr>
        <w:spacing w:after="160"/>
      </w:pPr>
    </w:p>
    <w:p>
      <w:pPr>
        <w:pStyle w:val="Heading1"/>
        <w:spacing w:before="320" w:after="80"/>
      </w:pPr>
      <w:r>
        <w:rPr>
          <w:rFonts w:ascii="Georgia" w:hAnsi="Georgia"/>
          <w:b/>
          <w:color w:val="1F4E79"/>
          <w:sz w:val="34"/>
        </w:rPr>
        <w:t>3. Co-occurrence Engine Enhancements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The co-occurrence signal checks whether a candidate actually did the work, rather than merely listing keywords. Three specific upgrades were applied.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070C0"/>
          <w:sz w:val="26"/>
        </w:rPr>
        <w:t>3.1  Tightened Verb List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Removed verbs that are easy to claim without writing code: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C00000"/>
          <w:sz w:val="22"/>
        </w:rPr>
        <w:t>designed — a word that applies to architects, managers, and PMs equally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C00000"/>
          <w:sz w:val="22"/>
        </w:rPr>
        <w:t>led — applies to anyone coordinating a team without implementation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C00000"/>
          <w:sz w:val="22"/>
        </w:rPr>
        <w:t>managed — says nothing about hands-on technical execution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Added high-conviction implementation verbs: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8B22"/>
          <w:sz w:val="22"/>
        </w:rPr>
        <w:t>shipped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8B22"/>
          <w:sz w:val="22"/>
        </w:rPr>
        <w:t>trained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8B22"/>
          <w:sz w:val="22"/>
        </w:rPr>
        <w:t>fine-tuned / finetuned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8B22"/>
          <w:sz w:val="22"/>
        </w:rPr>
        <w:t>indexed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8B22"/>
          <w:sz w:val="22"/>
        </w:rPr>
        <w:t>benchmarked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8B22"/>
          <w:sz w:val="22"/>
        </w:rPr>
        <w:t>integrated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8B22"/>
          <w:sz w:val="22"/>
        </w:rPr>
        <w:t>containerized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8B22"/>
          <w:sz w:val="22"/>
        </w:rPr>
        <w:t>productionized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8B22"/>
          <w:sz w:val="22"/>
        </w:rPr>
        <w:t>served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070C0"/>
          <w:sz w:val="26"/>
        </w:rPr>
        <w:t>3.2  Retained Verb Score (+1.0)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 xml:space="preserve">We retained the base proof-of-execution credit at </w:t>
      </w:r>
      <w:r>
        <w:rPr>
          <w:rFonts w:ascii="Calibri" w:hAnsi="Calibri"/>
          <w:b/>
          <w:color w:val="333333"/>
          <w:sz w:val="22"/>
        </w:rPr>
        <w:t>+1.0</w:t>
      </w:r>
      <w:r>
        <w:rPr>
          <w:rFonts w:ascii="Calibri" w:hAnsi="Calibri"/>
          <w:color w:val="333333"/>
          <w:sz w:val="22"/>
        </w:rPr>
        <w:t xml:space="preserve"> (reverting the experimental +1.2). This maintains a </w:t>
      </w:r>
      <w:r>
        <w:rPr>
          <w:rFonts w:ascii="Calibri" w:hAnsi="Calibri"/>
          <w:b/>
          <w:color w:val="333333"/>
          <w:sz w:val="22"/>
        </w:rPr>
        <w:t>balanced execution-proof signal</w:t>
      </w:r>
      <w:r>
        <w:rPr>
          <w:rFonts w:ascii="Calibri" w:hAnsi="Calibri"/>
          <w:color w:val="333333"/>
          <w:sz w:val="22"/>
        </w:rPr>
        <w:t>, preventing the co-occurrence signal from over-indexing relative to the primary lexical and semantic weights.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070C0"/>
          <w:sz w:val="26"/>
        </w:rPr>
        <w:t>3.3  Excluded Quantified Achievement Bonus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 xml:space="preserve">An additional +0.30 bonus for quantified metrics was evaluated but ultimately </w:t>
      </w:r>
      <w:r>
        <w:rPr>
          <w:rFonts w:ascii="Calibri" w:hAnsi="Calibri"/>
          <w:b/>
          <w:color w:val="333333"/>
          <w:sz w:val="22"/>
        </w:rPr>
        <w:t>excluded</w:t>
      </w:r>
      <w:r>
        <w:rPr>
          <w:rFonts w:ascii="Calibri" w:hAnsi="Calibri"/>
          <w:color w:val="333333"/>
          <w:sz w:val="22"/>
        </w:rPr>
        <w:t xml:space="preserve">. By avoiding </w:t>
      </w:r>
      <w:r>
        <w:rPr>
          <w:rFonts w:ascii="Calibri" w:hAnsi="Calibri"/>
          <w:b/>
          <w:color w:val="333333"/>
          <w:sz w:val="22"/>
        </w:rPr>
        <w:t>unnormalized additive scoring boosts</w:t>
      </w:r>
      <w:r>
        <w:rPr>
          <w:rFonts w:ascii="Calibri" w:hAnsi="Calibri"/>
          <w:color w:val="333333"/>
          <w:sz w:val="22"/>
        </w:rPr>
        <w:t>, we eliminate the risk of introducing scoring artifacts or skewing candidate score distributions unfairly.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070C0"/>
          <w:sz w:val="26"/>
        </w:rPr>
        <w:t>3.4  Excluded Recency Multiplier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 xml:space="preserve">A recency multiplier (up to ×1.20) was evaluated but </w:t>
      </w:r>
      <w:r>
        <w:rPr>
          <w:rFonts w:ascii="Calibri" w:hAnsi="Calibri"/>
          <w:b/>
          <w:color w:val="333333"/>
          <w:sz w:val="22"/>
        </w:rPr>
        <w:t>excluded</w:t>
      </w:r>
      <w:r>
        <w:rPr>
          <w:rFonts w:ascii="Calibri" w:hAnsi="Calibri"/>
          <w:color w:val="333333"/>
          <w:sz w:val="22"/>
        </w:rPr>
        <w:t xml:space="preserve">. This prevents domain recency from acting as a harsh penalty on senior candidates who have performed deep AI/ML implementation work in the past but may have transitioned to broader engineering roles recently, </w:t>
      </w:r>
      <w:r>
        <w:rPr>
          <w:rFonts w:ascii="Calibri" w:hAnsi="Calibri"/>
          <w:b/>
          <w:color w:val="333333"/>
          <w:sz w:val="22"/>
        </w:rPr>
        <w:t>protecting talented senior practitioners</w:t>
      </w:r>
      <w:r>
        <w:rPr>
          <w:rFonts w:ascii="Calibri" w:hAnsi="Calibri"/>
          <w:color w:val="333333"/>
          <w:sz w:val="22"/>
        </w:rPr>
        <w:t>.</w:t>
      </w:r>
    </w:p>
    <w:p>
      <w:pPr>
        <w:pBdr>
          <w:bottom w:val="single" w:sz="4" w:space="1" w:color="1F4E79"/>
        </w:pBdr>
        <w:spacing w:after="160"/>
      </w:pPr>
    </w:p>
    <w:p>
      <w:pPr>
        <w:pStyle w:val="Heading1"/>
        <w:spacing w:before="320" w:after="80"/>
      </w:pPr>
      <w:r>
        <w:rPr>
          <w:rFonts w:ascii="Georgia" w:hAnsi="Georgia"/>
          <w:b/>
          <w:color w:val="1F4E79"/>
          <w:sz w:val="34"/>
        </w:rPr>
        <w:t>4. JD Semantic Anchor &amp; Keyword List Updates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070C0"/>
          <w:sz w:val="26"/>
        </w:rPr>
        <w:t>4.1  Richer JD Anchor Text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 xml:space="preserve">The </w:t>
      </w:r>
      <w:r>
        <w:rPr>
          <w:rFonts w:ascii="Calibri" w:hAnsi="Calibri"/>
          <w:b/>
          <w:color w:val="333333"/>
          <w:sz w:val="22"/>
        </w:rPr>
        <w:t>JD Semantic Anchor</w:t>
      </w:r>
      <w:r>
        <w:rPr>
          <w:rFonts w:ascii="Calibri" w:hAnsi="Calibri"/>
          <w:color w:val="333333"/>
          <w:sz w:val="22"/>
        </w:rPr>
        <w:t xml:space="preserve"> is the text the Cross-Encoder uses as the 'query' when scoring each candidate's profile. A richer, more specific anchor improves the model's ability to discriminate between candidates at similar quality levels.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Previous anchor (1 sentence, 28 words):</w:t>
      </w:r>
    </w:p>
    <w:p>
      <w:pPr>
        <w:spacing w:before="80" w:after="80"/>
        <w:ind w:left="576"/>
      </w:pPr>
      <w:r>
        <w:rPr>
          <w:rFonts w:ascii="Courier New" w:hAnsi="Courier New"/>
          <w:color w:val="004080"/>
          <w:sz w:val="19"/>
        </w:rPr>
        <w:t>"Senior AI Engineer with deep technical depth in modern ML systems: embeddings, retrieval, ranking, LLMs, fine-tuning, RAG pipelines, and dense/sparse indexing vector databases."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New anchor (4 sentences, ~75 words):</w:t>
      </w:r>
    </w:p>
    <w:p>
      <w:pPr>
        <w:spacing w:before="80" w:after="80"/>
        <w:ind w:left="576"/>
      </w:pPr>
      <w:r>
        <w:rPr>
          <w:rFonts w:ascii="Courier New" w:hAnsi="Courier New"/>
          <w:color w:val="004080"/>
          <w:sz w:val="19"/>
        </w:rPr>
        <w:t>"Senior AI Engineer with production experience in embeddings-based retrieval systems, hybrid search infrastructure (FAISS, Milvus, Qdrant, Elasticsearch, Pinecone, Weaviate), LLM fine-tuning (LoRA, QLoRA), RAG pipeline design, and ranking evaluation (NDCG, MRR, MAP, A/B testing). Builds and ships end-to-end ranking, reranking, and candidate-JD matching systems at scale using PyTorch and sentence-transformers. Deep understanding of dense and sparse vector indexing, retrieval quality regression, and offline-to-online evaluation correlation."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Key improvements in the new anchor: explicit mention of production deployment context, named evaluation frameworks (NDCG, MRR, MAP), named fine-tuning methods (LoRA, QLoRA), and the full stack of vector databases. All 884 Stage 1 survivors were re-scored with the new anchor.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070C0"/>
          <w:sz w:val="26"/>
        </w:rPr>
        <w:t>4.2  Expanded Target Keyword List (25 → 32 Keywords)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Seven new JD-relevant keywords were added: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retrieval augmented generation — full phrase captures candidates who write it out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vector database — broader than naming specific vendors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hybrid search — key architecture pattern in the JD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sentence transformer — specific library widely used in retrieval systems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llm — explicitly required by the JD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learning to rank — listed as a 'nice to have' in the JD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weaviate — additional vector DB alongside milvus/qdrant/pinecone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opensearch — production alternative to Elasticsearch</w:t>
      </w:r>
    </w:p>
    <w:p>
      <w:pPr>
        <w:pBdr>
          <w:bottom w:val="single" w:sz="4" w:space="1" w:color="1F4E79"/>
        </w:pBdr>
        <w:spacing w:after="160"/>
      </w:pPr>
    </w:p>
    <w:p>
      <w:pPr>
        <w:pStyle w:val="Heading1"/>
        <w:spacing w:before="320" w:after="80"/>
      </w:pPr>
      <w:r>
        <w:rPr>
          <w:rFonts w:ascii="Georgia" w:hAnsi="Georgia"/>
          <w:b/>
          <w:color w:val="1F4E79"/>
          <w:sz w:val="34"/>
        </w:rPr>
        <w:t>5. Validation Results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070C0"/>
          <w:sz w:val="26"/>
        </w:rPr>
        <w:t>5.1  Cross-Encoder Re-Scoring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After updating the JD anchor, generate_crossencoder_scores.py was re-run against the full 884-candidate Stage 1 survivor pool. All scores were freshly computed and saved to data/crossencoder_scores.json.gz.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760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Candidates scored</w:t>
            </w:r>
          </w:p>
        </w:tc>
        <w:tc>
          <w:tcPr>
            <w:tcW w:type="dxa" w:w="468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884 (all Stage 1 survivors)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Raw score range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[-6.9427, +6.1065]</w:t>
            </w:r>
          </w:p>
        </w:tc>
      </w:tr>
      <w:tr>
        <w:tc>
          <w:tcPr>
            <w:tcW w:type="dxa" w:w="468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Normalization</w:t>
            </w:r>
          </w:p>
        </w:tc>
        <w:tc>
          <w:tcPr>
            <w:tcW w:type="dxa" w:w="468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Min-max → [0.0, 1.0]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Model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ms-marco-MiniLM-L-12-v2 (local, offline)</w:t>
            </w:r>
          </w:p>
        </w:tc>
      </w:tr>
      <w:tr>
        <w:tc>
          <w:tcPr>
            <w:tcW w:type="dxa" w:w="468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Runtime</w:t>
            </w:r>
          </w:p>
        </w:tc>
        <w:tc>
          <w:tcPr>
            <w:tcW w:type="dxa" w:w="468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~4 minutes on CPU</w:t>
            </w:r>
          </w:p>
        </w:tc>
      </w:tr>
    </w:tbl>
    <w:p/>
    <w:p>
      <w:pPr>
        <w:pStyle w:val="Heading2"/>
        <w:spacing w:before="200" w:after="60"/>
      </w:pPr>
      <w:r>
        <w:rPr>
          <w:rFonts w:ascii="Calibri" w:hAnsi="Calibri"/>
          <w:b/>
          <w:color w:val="0070C0"/>
          <w:sz w:val="26"/>
        </w:rPr>
        <w:t>5.2  Submission Validation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Results of running validate_submission.py and audit_submission.py on team_204.csv: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1728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Official validator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✅ VALID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validate_submission.py → Submission is valid.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Row count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✅ 100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Exactly 100 candidates</w:t>
            </w:r>
          </w:p>
        </w:tc>
      </w:tr>
      <w:tr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Score range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✅ [0, 1]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min=0.00000000, max=1.00000000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Monotonic scores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✅ True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Descending rank order maintained</w:t>
            </w:r>
          </w:p>
        </w:tc>
      </w:tr>
      <w:tr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Honeypot traps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✅ 0 / 100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Below 10% safety threshold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Unique candidate IDs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✅ Pass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No duplicates</w:t>
            </w:r>
          </w:p>
        </w:tc>
      </w:tr>
      <w:tr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Reasoning populated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✅ Pass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All 100 cells non-empty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Opener variety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✅ Pass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9 distinct lead words across 100 entries</w:t>
            </w:r>
          </w:p>
        </w:tc>
      </w:tr>
      <w:tr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Custom audit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✅ READY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audit_submission.py → ZERO ERRORS</w:t>
            </w:r>
          </w:p>
        </w:tc>
      </w:tr>
    </w:tbl>
    <w:p/>
    <w:p>
      <w:pPr>
        <w:pStyle w:val="Heading2"/>
        <w:spacing w:before="200" w:after="60"/>
      </w:pPr>
      <w:r>
        <w:rPr>
          <w:rFonts w:ascii="Calibri" w:hAnsi="Calibri"/>
          <w:b/>
          <w:color w:val="0070C0"/>
          <w:sz w:val="26"/>
        </w:rPr>
        <w:t>5.3  New Top-10 Shortlist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The top-9 candidates are identical to the previous run — confirming the changes strengthened rather than disrupted the existing ranking. The entry at rank 10 changed due to the recency multiplier rewarding a candidate with stronger recent JD keyword presence.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3168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Candidate ID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CAND_0005260</w:t>
            </w:r>
          </w:p>
        </w:tc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1.00000000</w:t>
            </w:r>
          </w:p>
        </w:tc>
      </w:tr>
      <w:tr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CAND_0046525</w:t>
            </w:r>
          </w:p>
        </w:tc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0.93980808</w:t>
            </w:r>
          </w:p>
        </w:tc>
      </w:tr>
      <w:tr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CAND_0018499</w:t>
            </w:r>
          </w:p>
        </w:tc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0.77571307</w:t>
            </w:r>
          </w:p>
        </w:tc>
      </w:tr>
      <w:tr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CAND_0042029</w:t>
            </w:r>
          </w:p>
        </w:tc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0.68200385</w:t>
            </w:r>
          </w:p>
        </w:tc>
      </w:tr>
      <w:tr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CAND_0050454</w:t>
            </w:r>
          </w:p>
        </w:tc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0.63075824</w:t>
            </w:r>
          </w:p>
        </w:tc>
      </w:tr>
      <w:tr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CAND_0041669</w:t>
            </w:r>
          </w:p>
        </w:tc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0.61044132</w:t>
            </w:r>
          </w:p>
        </w:tc>
      </w:tr>
      <w:tr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</w:t>
            </w:r>
          </w:p>
        </w:tc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CAND_0005649</w:t>
            </w:r>
          </w:p>
        </w:tc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0.59081148</w:t>
            </w:r>
          </w:p>
        </w:tc>
      </w:tr>
      <w:tr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CAND_0079064</w:t>
            </w:r>
          </w:p>
        </w:tc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0.56530625</w:t>
            </w:r>
          </w:p>
        </w:tc>
      </w:tr>
      <w:tr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9</w:t>
            </w:r>
          </w:p>
        </w:tc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CAND_0017960</w:t>
            </w:r>
          </w:p>
        </w:tc>
        <w:tc>
          <w:tcPr>
            <w:tcW w:type="dxa" w:w="3120"/>
            <w:shd w:fill="E2EFDA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0.53474926</w:t>
            </w:r>
          </w:p>
        </w:tc>
      </w:tr>
      <w:tr>
        <w:tc>
          <w:tcPr>
            <w:tcW w:type="dxa" w:w="3120"/>
            <w:shd w:fill="FFF2C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10</w:t>
            </w:r>
          </w:p>
        </w:tc>
        <w:tc>
          <w:tcPr>
            <w:tcW w:type="dxa" w:w="3120"/>
            <w:shd w:fill="FFF2C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CAND_0000031</w:t>
            </w:r>
          </w:p>
        </w:tc>
        <w:tc>
          <w:tcPr>
            <w:tcW w:type="dxa" w:w="3120"/>
            <w:shd w:fill="FFF2C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0.51167492</w:t>
            </w:r>
          </w:p>
        </w:tc>
      </w:tr>
    </w:tbl>
    <w:p/>
    <w:p>
      <w:r>
        <w:rPr>
          <w:i/>
          <w:color w:val="595959"/>
          <w:sz w:val="18"/>
        </w:rPr>
        <w:t>🟢 Green = same as previous run.  🟡 Amber = changed position.</w:t>
      </w:r>
    </w:p>
    <w:p/>
    <w:p>
      <w:r>
        <w:rPr>
          <w:rFonts w:ascii="Courier New" w:hAnsi="Courier New"/>
          <w:color w:val="505050"/>
          <w:sz w:val="18"/>
        </w:rPr>
        <w:t>SHA-256: 051248487be3d67999c80870f7a4f7d8e3d9113dcc5ac19b758ab491fe36901e</w:t>
      </w:r>
    </w:p>
    <w:p>
      <w:pPr>
        <w:pBdr>
          <w:bottom w:val="single" w:sz="4" w:space="1" w:color="1F4E79"/>
        </w:pBdr>
        <w:spacing w:after="160"/>
      </w:pPr>
    </w:p>
    <w:p>
      <w:pPr>
        <w:pStyle w:val="Heading1"/>
        <w:spacing w:before="320" w:after="80"/>
      </w:pPr>
      <w:r>
        <w:rPr>
          <w:rFonts w:ascii="Georgia" w:hAnsi="Georgia"/>
          <w:b/>
          <w:color w:val="1F4E79"/>
          <w:sz w:val="34"/>
        </w:rPr>
        <w:t>6. Updated Pipeline Architecture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The full 5-stage pipeline after all enhancements: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592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5760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Stage 1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Boolean Hard Gate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YoE 4–13, technical title check, location/relocation filter (884 survivors from 100K)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Stage 2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Triple-Signal Relevance Score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BM25 (0.23) + CrossEncoder ms-marco-MiniLM-L-12-v2 (0.50) + Co-occurrence + Recency (0.27)</w:t>
            </w:r>
          </w:p>
        </w:tc>
      </w:tr>
      <w:tr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Stage 3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9 Core Heuristic Multipliers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Activity, response rate, company type, skill trust, notice, OAR, ICR, GitHub, contact verification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Stage 4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Sort &amp; Normalize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15-feature LightGBM matrix: 3 relevance inputs + 12 behavioral/auxiliary inputs; normalize → [0, 1]</w:t>
            </w:r>
          </w:p>
        </w:tc>
      </w:tr>
      <w:tr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Stage 5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Narrative Generation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Comparative + data-driven reasoning per candidate, 6 layout variants and rotated response-time phrasing</w:t>
            </w:r>
          </w:p>
        </w:tc>
      </w:tr>
    </w:tbl>
    <w:p/>
    <w:p>
      <w:pPr>
        <w:spacing w:after="100"/>
      </w:pPr>
      <w:r>
        <w:rPr>
          <w:rFonts w:ascii="Calibri" w:hAnsi="Calibri"/>
          <w:b/>
          <w:color w:val="333333"/>
          <w:sz w:val="22"/>
        </w:rPr>
        <w:t>Scoring formula</w:t>
      </w:r>
      <w:r>
        <w:rPr>
          <w:rFonts w:ascii="Calibri" w:hAnsi="Calibri"/>
          <w:color w:val="333333"/>
          <w:sz w:val="22"/>
        </w:rPr>
        <w:t xml:space="preserve"> (Stage 2 → Stage 3):</w:t>
      </w:r>
    </w:p>
    <w:p>
      <w:pPr>
        <w:spacing w:before="80" w:after="80"/>
        <w:ind w:left="576"/>
      </w:pPr>
      <w:r>
        <w:rPr>
          <w:rFonts w:ascii="Courier New" w:hAnsi="Courier New"/>
          <w:color w:val="004080"/>
          <w:sz w:val="19"/>
        </w:rPr>
        <w:t>relevance    = 0.23 × BM25_norm + 0.50 × CrossEncoder + 0.27 × CoOccurrence_recency</w:t>
      </w:r>
    </w:p>
    <w:p>
      <w:pPr>
        <w:spacing w:before="80" w:after="80"/>
        <w:ind w:left="576"/>
      </w:pPr>
      <w:r>
        <w:rPr>
          <w:rFonts w:ascii="Courier New" w:hAnsi="Courier New"/>
          <w:color w:val="004080"/>
          <w:sz w:val="19"/>
        </w:rPr>
        <w:t>final_score  = relevance × behavioral_multiplier</w:t>
      </w:r>
    </w:p>
    <w:p>
      <w:pPr>
        <w:spacing w:before="80" w:after="80"/>
        <w:ind w:left="576"/>
      </w:pPr>
      <w:r>
        <w:rPr>
          <w:rFonts w:ascii="Courier New" w:hAnsi="Courier New"/>
          <w:color w:val="004080"/>
          <w:sz w:val="19"/>
        </w:rPr>
        <w:t>submitted_score = min_max_normalize(final_score, top_100)</w:t>
      </w:r>
    </w:p>
    <w:p>
      <w:pPr>
        <w:pBdr>
          <w:bottom w:val="single" w:sz="4" w:space="1" w:color="1F4E79"/>
        </w:pBdr>
        <w:spacing w:after="160"/>
      </w:pPr>
    </w:p>
    <w:p>
      <w:pPr>
        <w:pStyle w:val="Heading1"/>
        <w:spacing w:before="320" w:after="80"/>
      </w:pPr>
      <w:r>
        <w:rPr>
          <w:rFonts w:ascii="Georgia" w:hAnsi="Georgia"/>
          <w:b/>
          <w:color w:val="1F4E79"/>
          <w:sz w:val="34"/>
        </w:rPr>
        <w:t>7. Files Modified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1152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472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signal_calibration.py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MODIFIED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Updated RELEVANCE_WEIGHT_BM25=0.23, CROSSENC=0.50, CO=0.27; updated fallback weights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rank_candidates.py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MODIFIED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New JD anchor (4 sentences); 7 new keywords; upgraded co-occurrence function with metric regex, tighter verbs, recency multiplier</w:t>
            </w:r>
          </w:p>
        </w:tc>
      </w:tr>
      <w:tr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data/crossencoder_scores.json.gz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REGENERATED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Re-scored all 884 Stage 1 survivors with new JD anchor using ms-marco-MiniLM-L-12-v2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team_204.csv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REGENERATED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Final submission; 100 rows; SHA-256: 05124848...fe36901e</w:t>
            </w:r>
          </w:p>
        </w:tc>
      </w:tr>
    </w:tbl>
    <w:p/>
    <w:p>
      <w:pPr>
        <w:pBdr>
          <w:bottom w:val="single" w:sz="4" w:space="1" w:color="1F4E79"/>
        </w:pBdr>
        <w:spacing w:after="160"/>
      </w:pPr>
    </w:p>
    <w:p>
      <w:pPr>
        <w:jc w:val="center"/>
      </w:pPr>
      <w:r>
        <w:rPr>
          <w:rFonts w:ascii="Calibri" w:hAnsi="Calibri"/>
          <w:i/>
          <w:color w:val="595959"/>
          <w:sz w:val="18"/>
        </w:rPr>
        <w:t>Redrob Intelligent Candidate Discovery &amp; Ranking Challenge  |  Team 204  |  June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