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Georgia" w:hAnsi="Georgia"/>
          <w:b/>
          <w:color w:val="1F4E79"/>
          <w:sz w:val="52"/>
        </w:rPr>
        <w:t>Redrob Hybrid Candidate Ranker</w:t>
      </w:r>
    </w:p>
    <w:p>
      <w:pPr>
        <w:spacing w:after="40"/>
        <w:jc w:val="left"/>
      </w:pPr>
      <w:r>
        <w:rPr>
          <w:rFonts w:ascii="Calibri" w:hAnsi="Calibri"/>
          <w:i/>
          <w:color w:val="595959"/>
          <w:sz w:val="28"/>
        </w:rPr>
        <w:t>Stage 3 System Calibration &amp; Ablation Report — June 2026</w:t>
      </w:r>
    </w:p>
    <w:p>
      <w:pPr>
        <w:spacing w:after="400"/>
      </w:pPr>
      <w:r>
        <w:rPr>
          <w:rFonts w:ascii="Calibri" w:hAnsi="Calibri"/>
          <w:color w:val="595959"/>
          <w:sz w:val="20"/>
        </w:rPr>
        <w:t>Team 204  |  Output: team_204.csv  |  Status: VALIDATED ✓</w:t>
      </w:r>
    </w:p>
    <w:p>
      <w:pPr>
        <w:pBdr>
          <w:bottom w:val="single" w:sz="4" w:space="1" w:color="1F4E79"/>
        </w:pBdr>
        <w:spacing w:after="160"/>
      </w:pPr>
    </w:p>
    <w:p>
      <w:pPr>
        <w:pStyle w:val="Heading1"/>
        <w:spacing w:before="320" w:after="80"/>
      </w:pPr>
      <w:r>
        <w:rPr>
          <w:rFonts w:ascii="Georgia" w:hAnsi="Georgia"/>
          <w:b/>
          <w:color w:val="1F4E79"/>
          <w:sz w:val="34"/>
        </w:rPr>
        <w:t>1. Executive Summary &amp; Overview of Changes</w:t>
      </w:r>
    </w:p>
    <w:p>
      <w:pPr>
        <w:spacing w:after="100"/>
      </w:pPr>
      <w:r>
        <w:rPr>
          <w:rFonts w:ascii="Calibri" w:hAnsi="Calibri"/>
          <w:color w:val="333333"/>
          <w:sz w:val="22"/>
        </w:rPr>
        <w:t xml:space="preserve">This report details the end-to-end architecture and empirical calibrations of the </w:t>
      </w:r>
      <w:r>
        <w:rPr>
          <w:rFonts w:ascii="Calibri" w:hAnsi="Calibri"/>
          <w:b/>
          <w:color w:val="333333"/>
          <w:sz w:val="22"/>
        </w:rPr>
        <w:t>Redrob Hybrid Candidate Ranker</w:t>
      </w:r>
      <w:r>
        <w:rPr>
          <w:rFonts w:ascii="Calibri" w:hAnsi="Calibri"/>
          <w:color w:val="333333"/>
          <w:sz w:val="22"/>
        </w:rPr>
        <w:t xml:space="preserve">. Stage 3 calibrations targeted two main areas: simplifying our behavioral multiplier formula to eliminate </w:t>
      </w:r>
      <w:r>
        <w:rPr>
          <w:rFonts w:ascii="Calibri" w:hAnsi="Calibri"/>
          <w:b/>
          <w:color w:val="333333"/>
          <w:sz w:val="22"/>
        </w:rPr>
        <w:t>interaction risk</w:t>
      </w:r>
      <w:r>
        <w:rPr>
          <w:rFonts w:ascii="Calibri" w:hAnsi="Calibri"/>
          <w:color w:val="333333"/>
          <w:sz w:val="22"/>
        </w:rPr>
        <w:t xml:space="preserve"> (where multiple slight decays compounded unfairly) and tightening our filters to align strictly with the Senior AI Engineer Job Description (JD). Additionally, we </w:t>
      </w:r>
      <w:r>
        <w:rPr>
          <w:rFonts w:ascii="Calibri" w:hAnsi="Calibri"/>
          <w:b/>
          <w:color w:val="333333"/>
          <w:sz w:val="22"/>
        </w:rPr>
        <w:t>manually curated</w:t>
      </w:r>
      <w:r>
        <w:rPr>
          <w:rFonts w:ascii="Calibri" w:hAnsi="Calibri"/>
          <w:color w:val="333333"/>
          <w:sz w:val="22"/>
        </w:rPr>
        <w:t xml:space="preserve"> an explicit list of recognized product employers based on the Indian tech landscape and JD examples, ensuring the product company boost is robust and defensible.</w:t>
      </w:r>
    </w:p>
    <w:p>
      <w:pPr>
        <w:pStyle w:val="Heading2"/>
        <w:spacing w:before="200" w:after="60"/>
      </w:pPr>
      <w:r>
        <w:rPr>
          <w:rFonts w:ascii="Calibri" w:hAnsi="Calibri"/>
          <w:b/>
          <w:color w:val="0070C0"/>
          <w:sz w:val="26"/>
        </w:rPr>
        <w:t>1.1 The Simplification Rationale</w:t>
      </w:r>
    </w:p>
    <w:p>
      <w:pPr>
        <w:spacing w:after="100"/>
      </w:pPr>
      <w:r>
        <w:rPr>
          <w:rFonts w:ascii="Calibri" w:hAnsi="Calibri"/>
          <w:color w:val="333333"/>
          <w:sz w:val="22"/>
        </w:rPr>
        <w:t>In our previous configurations, the candidate score was multiplied by up to 14 separate intermediate behavioral signals (e.g., response time, profile completeness, search appearances, recent sign-ins, etc.). While mathematically sophisticated, this created a high risk of unintended compounding. Outstanding technical profiles with minor, isolated behavioral gaps (such as a response rate of 60% combined with a 90-day notice period) were severely penalized and dropped completely out of the Top 100 shortlist. To restore balanced, defensible rankings, we pruned 5 noisy intermediate signals and tightened the remaining core calibrations.</w:t>
      </w:r>
    </w:p>
    <w:p>
      <w:pPr>
        <w:pStyle w:val="Heading1"/>
        <w:spacing w:before="320" w:after="80"/>
      </w:pPr>
      <w:r>
        <w:rPr>
          <w:rFonts w:ascii="Georgia" w:hAnsi="Georgia"/>
          <w:b/>
          <w:color w:val="1F4E79"/>
          <w:sz w:val="34"/>
        </w:rPr>
        <w:t>2. Simplified Multiplier Architecture</w:t>
      </w:r>
    </w:p>
    <w:p>
      <w:pPr>
        <w:spacing w:after="100"/>
      </w:pPr>
      <w:r>
        <w:rPr>
          <w:rFonts w:ascii="Calibri" w:hAnsi="Calibri"/>
          <w:color w:val="333333"/>
          <w:sz w:val="22"/>
        </w:rPr>
        <w:t>Our updated pipeline utilizes exactly 9 core, highly defensible multipliers to adjust relevance scores. This prunes noise and ensures that the model remains centered on genuine technical capability and direct operational constraints:</w:t>
      </w:r>
    </w:p>
    <w:p>
      <w:pPr>
        <w:pStyle w:val="ListBullet"/>
        <w:spacing w:after="60"/>
        <w:ind w:left="360"/>
      </w:pPr>
      <w:r>
        <w:rPr>
          <w:rFonts w:ascii="Calibri" w:hAnsi="Calibri"/>
          <w:color w:val="333333"/>
          <w:sz w:val="22"/>
        </w:rPr>
        <w:t>Activity Decay (Sigmoid): Decays older profiles, but utilizes a safe floor of 0.15 to protect top-tier inactive candidates.</w:t>
      </w:r>
    </w:p>
    <w:p>
      <w:pPr>
        <w:pStyle w:val="ListBullet"/>
        <w:spacing w:after="60"/>
        <w:ind w:left="360"/>
      </w:pPr>
      <w:r>
        <w:rPr>
          <w:rFonts w:ascii="Calibri" w:hAnsi="Calibri"/>
          <w:color w:val="333333"/>
          <w:sz w:val="22"/>
        </w:rPr>
        <w:t>Recruiter Response Rate: Exponent tightened to 0.80 (with a softened floor of 0.35) to implement strict behavioral checks without complete zeroing.</w:t>
      </w:r>
    </w:p>
    <w:p>
      <w:pPr>
        <w:pStyle w:val="ListBullet"/>
        <w:spacing w:after="60"/>
        <w:ind w:left="360"/>
      </w:pPr>
      <w:r>
        <w:rPr>
          <w:rFonts w:ascii="Calibri" w:hAnsi="Calibri"/>
          <w:color w:val="333333"/>
          <w:sz w:val="22"/>
        </w:rPr>
        <w:t>Company Type (Product vs. Consulting): Manually curated boost of 1.05 for recognized product companies and a penalty of 0.88 for pure consulting backgrounds.</w:t>
      </w:r>
    </w:p>
    <w:p>
      <w:pPr>
        <w:pStyle w:val="ListBullet"/>
        <w:spacing w:after="60"/>
        <w:ind w:left="360"/>
      </w:pPr>
      <w:r>
        <w:rPr>
          <w:rFonts w:ascii="Calibri" w:hAnsi="Calibri"/>
          <w:color w:val="333333"/>
          <w:sz w:val="22"/>
        </w:rPr>
        <w:t>Skill Trust: Ranges from 0.80 to 1.25 to reward candidates who completed assessments (e.g., LangChain, LlamaIndex, PyTorch).</w:t>
      </w:r>
    </w:p>
    <w:p>
      <w:pPr>
        <w:pStyle w:val="ListBullet"/>
        <w:spacing w:after="60"/>
        <w:ind w:left="360"/>
      </w:pPr>
      <w:r>
        <w:rPr>
          <w:rFonts w:ascii="Calibri" w:hAnsi="Calibri"/>
          <w:color w:val="333333"/>
          <w:sz w:val="22"/>
        </w:rPr>
        <w:t>Notice Period Penalty: Operational penalty (91-120 days = 0.96; &gt;120 days = 0.92) matching JD's hiring speed requirements.</w:t>
      </w:r>
    </w:p>
    <w:p>
      <w:pPr>
        <w:pStyle w:val="ListBullet"/>
        <w:spacing w:after="60"/>
        <w:ind w:left="360"/>
      </w:pPr>
      <w:r>
        <w:rPr>
          <w:rFonts w:ascii="Calibri" w:hAnsi="Calibri"/>
          <w:color w:val="333333"/>
          <w:sz w:val="22"/>
        </w:rPr>
        <w:t>OAR / ICR Penalties: Penalizes bottom-decile outliers (OAR &lt; 40% gets 0.92; ICR &lt; 50% gets 0.85).</w:t>
      </w:r>
    </w:p>
    <w:p>
      <w:pPr>
        <w:pStyle w:val="ListBullet"/>
        <w:spacing w:after="60"/>
        <w:ind w:left="360"/>
      </w:pPr>
      <w:r>
        <w:rPr>
          <w:rFonts w:ascii="Calibri" w:hAnsi="Calibri"/>
          <w:color w:val="333333"/>
          <w:sz w:val="22"/>
        </w:rPr>
        <w:t>GitHub Activity: Controlled within a [0.95, 1.05] band to reward active contributors without over-penalizing closed-source developers.</w:t>
      </w:r>
    </w:p>
    <w:p>
      <w:pPr>
        <w:pStyle w:val="ListBullet"/>
        <w:spacing w:after="60"/>
        <w:ind w:left="360"/>
      </w:pPr>
      <w:r>
        <w:rPr>
          <w:rFonts w:ascii="Calibri" w:hAnsi="Calibri"/>
          <w:color w:val="333333"/>
          <w:sz w:val="22"/>
        </w:rPr>
        <w:t>Contact Verification: Unverified channel penalty of 0.88 applied only when both email and phone verification fail.</w:t>
      </w:r>
    </w:p>
    <w:p>
      <w:pPr>
        <w:pStyle w:val="Heading2"/>
        <w:spacing w:before="200" w:after="60"/>
      </w:pPr>
      <w:r>
        <w:rPr>
          <w:rFonts w:ascii="Calibri" w:hAnsi="Calibri"/>
          <w:b/>
          <w:color w:val="0070C0"/>
          <w:sz w:val="26"/>
        </w:rPr>
        <w:t>2.1 Cross-Stage Feature Reconciliation</w:t>
      </w:r>
    </w:p>
    <w:p>
      <w:pPr>
        <w:spacing w:after="100"/>
      </w:pPr>
      <w:r>
        <w:rPr>
          <w:rFonts w:ascii="Calibri" w:hAnsi="Calibri"/>
          <w:color w:val="333333"/>
          <w:sz w:val="22"/>
        </w:rPr>
        <w:t xml:space="preserve">The 9 Stage 3 items are heuristic multiplier groups used to construct the continuous training target; they are not a claim that Stage 4 receives only nine behavioral columns. Stage 4 builds a separate 15-column learned representation: 3 Stage 2 relevance inputs plus 12 behavioral and auxiliary inputs. The learned matrix expands OAR and ICR into separate columns, retains response-time, intent, and market-validation features, and uses company_scale as its employer-trajectory feature. Therefore, the Stage 4 topology is </w:t>
      </w:r>
      <w:r>
        <w:rPr>
          <w:rFonts w:ascii="Calibri" w:hAnsi="Calibri"/>
          <w:b/>
          <w:color w:val="333333"/>
          <w:sz w:val="22"/>
        </w:rPr>
        <w:t>3 relevance dimensions + 12 behavioral/auxiliary dimensions = 15 total dimensions</w:t>
      </w:r>
      <w:r>
        <w:rPr>
          <w:rFonts w:ascii="Calibri" w:hAnsi="Calibri"/>
          <w:color w:val="333333"/>
          <w:sz w:val="22"/>
        </w:rPr>
        <w:t>.</w:t>
      </w:r>
    </w:p>
    <w:p>
      <w:pPr>
        <w:pStyle w:val="Heading1"/>
        <w:spacing w:before="320" w:after="80"/>
      </w:pPr>
      <w:r>
        <w:rPr>
          <w:rFonts w:ascii="Georgia" w:hAnsi="Georgia"/>
          <w:b/>
          <w:color w:val="1F4E79"/>
          <w:sz w:val="34"/>
        </w:rPr>
        <w:t>3. Company Type Curation &amp; Definition</w:t>
      </w:r>
    </w:p>
    <w:p>
      <w:pPr>
        <w:spacing w:after="100"/>
      </w:pPr>
      <w:r>
        <w:rPr>
          <w:rFonts w:ascii="Calibri" w:hAnsi="Calibri"/>
          <w:color w:val="333333"/>
          <w:sz w:val="22"/>
        </w:rPr>
        <w:t>The Senior AI Engineer JD explicitly prefers candidates with product-company operating experience and excludes candidates who have only worked at consulting/outsourcing services firms (which may prioritize resource-arbitrage over shipping core product code).</w:t>
      </w:r>
    </w:p>
    <w:p>
      <w:pPr>
        <w:spacing w:after="100"/>
      </w:pPr>
      <w:r>
        <w:rPr>
          <w:rFonts w:ascii="Calibri" w:hAnsi="Calibri"/>
          <w:color w:val="333333"/>
          <w:sz w:val="22"/>
        </w:rPr>
        <w:t>To make this multiplier defensible and consistent, we manually curated an explicit list of recognized product employers based on Indian and global tech landscapes and JD guidelines. This limits the 1.05 boost only to candidates with proven product environments:</w:t>
      </w:r>
    </w:p>
    <w:p>
      <w:pPr>
        <w:pStyle w:val="ListBullet"/>
        <w:spacing w:after="60"/>
        <w:ind w:left="720"/>
      </w:pPr>
      <w:r>
        <w:rPr>
          <w:rFonts w:ascii="Calibri" w:hAnsi="Calibri"/>
          <w:color w:val="333333"/>
          <w:sz w:val="22"/>
        </w:rPr>
        <w:t>Global Tech Giants: Google, Microsoft, Amazon, Meta, Apple, Netflix, Uber, LinkedIn, Stripe, Salesforce, Adobe, Atlassian, Databricks, Snowflake, MongoDB, Nvidia, Samsung, Spotify, Airbnb, Paypal.</w:t>
      </w:r>
    </w:p>
    <w:p>
      <w:pPr>
        <w:pStyle w:val="ListBullet"/>
        <w:spacing w:after="60"/>
        <w:ind w:left="720"/>
      </w:pPr>
      <w:r>
        <w:rPr>
          <w:rFonts w:ascii="Calibri" w:hAnsi="Calibri"/>
          <w:color w:val="333333"/>
          <w:sz w:val="22"/>
        </w:rPr>
        <w:t>AI / Vector Search Innovators: OpenAI, Anthropic, Hugging Face, Pinecone, Weaviate, Qdrant, Elastic.</w:t>
      </w:r>
    </w:p>
    <w:p>
      <w:pPr>
        <w:pStyle w:val="ListBullet"/>
        <w:spacing w:after="60"/>
        <w:ind w:left="720"/>
      </w:pPr>
      <w:r>
        <w:rPr>
          <w:rFonts w:ascii="Calibri" w:hAnsi="Calibri"/>
          <w:color w:val="333333"/>
          <w:sz w:val="22"/>
        </w:rPr>
        <w:t>Indian Product Leaders / Unicorns: Flipkart, Swiggy, Zomato, CRED, Razorpay, PhonePe, Paytm, Ola, Zoho, Freshworks, Postman, Browserstack, Groww, Zerodha, Delhivery, Sharechat, Meesho.</w:t>
      </w:r>
    </w:p>
    <w:p>
      <w:pPr>
        <w:spacing w:after="100"/>
      </w:pPr>
      <w:r>
        <w:rPr>
          <w:rFonts w:ascii="Calibri" w:hAnsi="Calibri"/>
          <w:color w:val="333333"/>
          <w:sz w:val="22"/>
        </w:rPr>
        <w:t>Pure Consulting firms (such as TCS, Infosys, Wipro, Cognizant, Accenture, Capgemini, HCL, Tech Mahindra, and Genpact) are mapped to the 0.88 penalty if a candidate's entire career is service-only. Candidates with mixed experience (e.g., worked at Wipro but currently at a startup not on our product list) default to neutral (1.00), preventing unfair penalization.</w:t>
      </w:r>
    </w:p>
    <w:p>
      <w:pPr>
        <w:pStyle w:val="Heading1"/>
        <w:spacing w:before="320" w:after="80"/>
      </w:pPr>
      <w:r>
        <w:rPr>
          <w:rFonts w:ascii="Georgia" w:hAnsi="Georgia"/>
          <w:b/>
          <w:color w:val="1F4E79"/>
          <w:sz w:val="34"/>
        </w:rPr>
        <w:t>4. Ablation &amp; Sensitivity Analysis (Stage 2 vs. Stage 3)</w:t>
      </w:r>
    </w:p>
    <w:p>
      <w:pPr>
        <w:spacing w:after="100"/>
      </w:pPr>
      <w:r>
        <w:rPr>
          <w:rFonts w:ascii="Calibri" w:hAnsi="Calibri"/>
          <w:color w:val="333333"/>
          <w:sz w:val="22"/>
        </w:rPr>
        <w:t>We executed an ablation analysis comparing our Stage 2 baseline (which had 14 multipliers and a soft 0.70 response rate curve) against the Stage 3 simplified and tightened calibrations:</w:t>
      </w:r>
    </w:p>
    <w:p>
      <w:pPr>
        <w:pStyle w:val="ListBullet"/>
        <w:spacing w:after="60"/>
        <w:ind w:left="360"/>
      </w:pPr>
      <w:r>
        <w:rPr>
          <w:rFonts w:ascii="Calibri" w:hAnsi="Calibri"/>
          <w:color w:val="333333"/>
          <w:sz w:val="22"/>
        </w:rPr>
        <w:t>Top-10 Candidate Overlap: 70.0% (7 of 10 baseline candidates remain, demonstrating high core ranking stability).</w:t>
      </w:r>
    </w:p>
    <w:p>
      <w:pPr>
        <w:pStyle w:val="ListBullet"/>
        <w:spacing w:after="60"/>
        <w:ind w:left="360"/>
      </w:pPr>
      <w:r>
        <w:rPr>
          <w:rFonts w:ascii="Calibri" w:hAnsi="Calibri"/>
          <w:color w:val="333333"/>
          <w:sz w:val="22"/>
        </w:rPr>
        <w:t>Top-50 Overlap: 68.0% (34 of 50).</w:t>
      </w:r>
    </w:p>
    <w:p>
      <w:pPr>
        <w:pStyle w:val="ListBullet"/>
        <w:spacing w:after="60"/>
        <w:ind w:left="360"/>
      </w:pPr>
      <w:r>
        <w:rPr>
          <w:rFonts w:ascii="Calibri" w:hAnsi="Calibri"/>
          <w:color w:val="333333"/>
          <w:sz w:val="22"/>
        </w:rPr>
        <w:t>Top-100 Overlap: 75.0% (75 of 100).</w:t>
      </w:r>
    </w:p>
    <w:p>
      <w:pPr>
        <w:pStyle w:val="ListBullet"/>
        <w:spacing w:after="60"/>
        <w:ind w:left="360"/>
      </w:pPr>
      <w:r>
        <w:rPr>
          <w:rFonts w:ascii="Calibri" w:hAnsi="Calibri"/>
          <w:color w:val="333333"/>
          <w:sz w:val="22"/>
        </w:rPr>
        <w:t>Shortlist Swaps: Exactly 25 new candidates entered the Top-100, while 25 dropped out, demonstrating highly targeted signal adjustments.</w:t>
      </w:r>
    </w:p>
    <w:p>
      <w:pPr>
        <w:pStyle w:val="Heading2"/>
        <w:spacing w:before="200" w:after="60"/>
      </w:pPr>
      <w:r>
        <w:rPr>
          <w:rFonts w:ascii="Calibri" w:hAnsi="Calibri"/>
          <w:b/>
          <w:color w:val="0070C0"/>
          <w:sz w:val="26"/>
        </w:rPr>
        <w:t>4.1 Top-10 Rank Shift Analysis Table</w:t>
      </w:r>
    </w:p>
    <w:tbl>
      <w:tblPr>
        <w:tblW w:type="auto" w:w="0"/>
        <w:tblLook w:firstColumn="1" w:firstRow="1" w:lastColumn="0" w:lastRow="0" w:noHBand="0" w:noVBand="1" w:val="04A0"/>
      </w:tblPr>
      <w:tblGrid>
        <w:gridCol w:w="1872"/>
        <w:gridCol w:w="1872"/>
        <w:gridCol w:w="1872"/>
        <w:gridCol w:w="1872"/>
        <w:gridCol w:w="1872"/>
      </w:tblGrid>
      <w:tr>
        <w:tc>
          <w:tcPr>
            <w:tcW w:type="dxa" w:w="2160"/>
            <w:shd w:fill="1F4E79"/>
            <w:tcMar>
              <w:top w:w="80" w:type="dxa"/>
              <w:bottom w:w="80" w:type="dxa"/>
              <w:left w:w="130" w:type="dxa"/>
              <w:right w:w="130" w:type="dxa"/>
            </w:tcMar>
          </w:tcPr>
          <w:p>
            <w:pPr>
              <w:jc w:val="center"/>
            </w:pPr>
            <w:r>
              <w:rPr>
                <w:rFonts w:ascii="Calibri" w:hAnsi="Calibri"/>
                <w:b/>
                <w:color w:val="FFFFFF"/>
                <w:sz w:val="20"/>
              </w:rPr>
              <w:t>Candidate ID</w:t>
            </w:r>
          </w:p>
        </w:tc>
        <w:tc>
          <w:tcPr>
            <w:tcW w:type="dxa" w:w="1728"/>
            <w:shd w:fill="1F4E79"/>
            <w:tcMar>
              <w:top w:w="80" w:type="dxa"/>
              <w:bottom w:w="80" w:type="dxa"/>
              <w:left w:w="130" w:type="dxa"/>
              <w:right w:w="130" w:type="dxa"/>
            </w:tcMar>
          </w:tcPr>
          <w:p>
            <w:pPr>
              <w:jc w:val="center"/>
            </w:pPr>
            <w:r>
              <w:rPr>
                <w:rFonts w:ascii="Calibri" w:hAnsi="Calibri"/>
                <w:b/>
                <w:color w:val="FFFFFF"/>
                <w:sz w:val="20"/>
              </w:rPr>
              <w:t>Stage 2 Rank</w:t>
            </w:r>
          </w:p>
        </w:tc>
        <w:tc>
          <w:tcPr>
            <w:tcW w:type="dxa" w:w="1728"/>
            <w:shd w:fill="1F4E79"/>
            <w:tcMar>
              <w:top w:w="80" w:type="dxa"/>
              <w:bottom w:w="80" w:type="dxa"/>
              <w:left w:w="130" w:type="dxa"/>
              <w:right w:w="130" w:type="dxa"/>
            </w:tcMar>
          </w:tcPr>
          <w:p>
            <w:pPr>
              <w:jc w:val="center"/>
            </w:pPr>
            <w:r>
              <w:rPr>
                <w:rFonts w:ascii="Calibri" w:hAnsi="Calibri"/>
                <w:b/>
                <w:color w:val="FFFFFF"/>
                <w:sz w:val="20"/>
              </w:rPr>
              <w:t>Stage 3 Rank</w:t>
            </w:r>
          </w:p>
        </w:tc>
        <w:tc>
          <w:tcPr>
            <w:tcW w:type="dxa" w:w="1728"/>
            <w:shd w:fill="1F4E79"/>
            <w:tcMar>
              <w:top w:w="80" w:type="dxa"/>
              <w:bottom w:w="80" w:type="dxa"/>
              <w:left w:w="130" w:type="dxa"/>
              <w:right w:w="130" w:type="dxa"/>
            </w:tcMar>
          </w:tcPr>
          <w:p>
            <w:pPr>
              <w:jc w:val="center"/>
            </w:pPr>
            <w:r>
              <w:rPr>
                <w:rFonts w:ascii="Calibri" w:hAnsi="Calibri"/>
                <w:b/>
                <w:color w:val="FFFFFF"/>
                <w:sz w:val="20"/>
              </w:rPr>
              <w:t>Rank Delta</w:t>
            </w:r>
          </w:p>
        </w:tc>
        <w:tc>
          <w:tcPr>
            <w:tcW w:type="dxa" w:w="1728"/>
            <w:shd w:fill="1F4E79"/>
            <w:tcMar>
              <w:top w:w="80" w:type="dxa"/>
              <w:bottom w:w="80" w:type="dxa"/>
              <w:left w:w="130" w:type="dxa"/>
              <w:right w:w="130" w:type="dxa"/>
            </w:tcMar>
          </w:tcPr>
          <w:p>
            <w:pPr>
              <w:jc w:val="center"/>
            </w:pPr>
            <w:r>
              <w:rPr>
                <w:rFonts w:ascii="Calibri" w:hAnsi="Calibri"/>
                <w:b/>
                <w:color w:val="FFFFFF"/>
                <w:sz w:val="20"/>
              </w:rPr>
              <w:t>Score Delta</w:t>
            </w:r>
          </w:p>
        </w:tc>
      </w:tr>
      <w:tr>
        <w:tc>
          <w:tcPr>
            <w:tcW w:type="dxa" w:w="1872"/>
            <w:shd w:fill="FFFFFF"/>
            <w:tcMar>
              <w:top w:w="80" w:type="dxa"/>
              <w:bottom w:w="80" w:type="dxa"/>
              <w:left w:w="130" w:type="dxa"/>
              <w:right w:w="130" w:type="dxa"/>
            </w:tcMar>
          </w:tcPr>
          <w:p>
            <w:pPr>
              <w:jc w:val="left"/>
            </w:pPr>
            <w:r>
              <w:rPr>
                <w:rFonts w:ascii="Calibri" w:hAnsi="Calibri"/>
                <w:color w:val="333333"/>
                <w:sz w:val="20"/>
              </w:rPr>
              <w:t>CAND_0005260</w:t>
            </w:r>
          </w:p>
        </w:tc>
        <w:tc>
          <w:tcPr>
            <w:tcW w:type="dxa" w:w="1872"/>
            <w:shd w:fill="FFFFFF"/>
            <w:tcMar>
              <w:top w:w="80" w:type="dxa"/>
              <w:bottom w:w="80" w:type="dxa"/>
              <w:left w:w="130" w:type="dxa"/>
              <w:right w:w="130" w:type="dxa"/>
            </w:tcMar>
          </w:tcPr>
          <w:p>
            <w:pPr>
              <w:jc w:val="center"/>
            </w:pPr>
            <w:r>
              <w:rPr>
                <w:rFonts w:ascii="Calibri" w:hAnsi="Calibri"/>
                <w:color w:val="333333"/>
                <w:sz w:val="20"/>
              </w:rPr>
              <w:t>2</w:t>
            </w:r>
          </w:p>
        </w:tc>
        <w:tc>
          <w:tcPr>
            <w:tcW w:type="dxa" w:w="1872"/>
            <w:shd w:fill="FFFFFF"/>
            <w:tcMar>
              <w:top w:w="80" w:type="dxa"/>
              <w:bottom w:w="80" w:type="dxa"/>
              <w:left w:w="130" w:type="dxa"/>
              <w:right w:w="130" w:type="dxa"/>
            </w:tcMar>
          </w:tcPr>
          <w:p>
            <w:pPr>
              <w:jc w:val="center"/>
            </w:pPr>
            <w:r>
              <w:rPr>
                <w:rFonts w:ascii="Calibri" w:hAnsi="Calibri"/>
                <w:color w:val="333333"/>
                <w:sz w:val="20"/>
              </w:rPr>
              <w:t>1</w:t>
            </w:r>
          </w:p>
        </w:tc>
        <w:tc>
          <w:tcPr>
            <w:tcW w:type="dxa" w:w="1872"/>
            <w:shd w:fill="FFFFFF"/>
            <w:tcMar>
              <w:top w:w="80" w:type="dxa"/>
              <w:bottom w:w="80" w:type="dxa"/>
              <w:left w:w="130" w:type="dxa"/>
              <w:right w:w="130" w:type="dxa"/>
            </w:tcMar>
          </w:tcPr>
          <w:p>
            <w:pPr>
              <w:jc w:val="center"/>
            </w:pPr>
            <w:r>
              <w:rPr>
                <w:rFonts w:ascii="Calibri" w:hAnsi="Calibri"/>
                <w:color w:val="333333"/>
                <w:sz w:val="20"/>
              </w:rPr>
              <w:t>+1</w:t>
            </w:r>
          </w:p>
        </w:tc>
        <w:tc>
          <w:tcPr>
            <w:tcW w:type="dxa" w:w="1872"/>
            <w:shd w:fill="FFFFFF"/>
            <w:tcMar>
              <w:top w:w="80" w:type="dxa"/>
              <w:bottom w:w="80" w:type="dxa"/>
              <w:left w:w="130" w:type="dxa"/>
              <w:right w:w="130" w:type="dxa"/>
            </w:tcMar>
          </w:tcPr>
          <w:p>
            <w:pPr>
              <w:jc w:val="center"/>
            </w:pPr>
            <w:r>
              <w:rPr>
                <w:rFonts w:ascii="Calibri" w:hAnsi="Calibri"/>
                <w:color w:val="333333"/>
                <w:sz w:val="20"/>
              </w:rPr>
              <w:t>+0.0589</w:t>
            </w:r>
          </w:p>
        </w:tc>
      </w:tr>
      <w:tr>
        <w:tc>
          <w:tcPr>
            <w:tcW w:type="dxa" w:w="1872"/>
            <w:shd w:fill="EBF3FB"/>
            <w:tcMar>
              <w:top w:w="80" w:type="dxa"/>
              <w:bottom w:w="80" w:type="dxa"/>
              <w:left w:w="130" w:type="dxa"/>
              <w:right w:w="130" w:type="dxa"/>
            </w:tcMar>
          </w:tcPr>
          <w:p>
            <w:pPr>
              <w:jc w:val="left"/>
            </w:pPr>
            <w:r>
              <w:rPr>
                <w:rFonts w:ascii="Calibri" w:hAnsi="Calibri"/>
                <w:color w:val="333333"/>
                <w:sz w:val="20"/>
              </w:rPr>
              <w:t>CAND_0046525</w:t>
            </w:r>
          </w:p>
        </w:tc>
        <w:tc>
          <w:tcPr>
            <w:tcW w:type="dxa" w:w="1872"/>
            <w:shd w:fill="EBF3FB"/>
            <w:tcMar>
              <w:top w:w="80" w:type="dxa"/>
              <w:bottom w:w="80" w:type="dxa"/>
              <w:left w:w="130" w:type="dxa"/>
              <w:right w:w="130" w:type="dxa"/>
            </w:tcMar>
          </w:tcPr>
          <w:p>
            <w:pPr>
              <w:jc w:val="center"/>
            </w:pPr>
            <w:r>
              <w:rPr>
                <w:rFonts w:ascii="Calibri" w:hAnsi="Calibri"/>
                <w:color w:val="333333"/>
                <w:sz w:val="20"/>
              </w:rPr>
              <w:t>1</w:t>
            </w:r>
          </w:p>
        </w:tc>
        <w:tc>
          <w:tcPr>
            <w:tcW w:type="dxa" w:w="1872"/>
            <w:shd w:fill="EBF3FB"/>
            <w:tcMar>
              <w:top w:w="80" w:type="dxa"/>
              <w:bottom w:w="80" w:type="dxa"/>
              <w:left w:w="130" w:type="dxa"/>
              <w:right w:w="130" w:type="dxa"/>
            </w:tcMar>
          </w:tcPr>
          <w:p>
            <w:pPr>
              <w:jc w:val="center"/>
            </w:pPr>
            <w:r>
              <w:rPr>
                <w:rFonts w:ascii="Calibri" w:hAnsi="Calibri"/>
                <w:color w:val="333333"/>
                <w:sz w:val="20"/>
              </w:rPr>
              <w:t>2</w:t>
            </w:r>
          </w:p>
        </w:tc>
        <w:tc>
          <w:tcPr>
            <w:tcW w:type="dxa" w:w="1872"/>
            <w:shd w:fill="EBF3FB"/>
            <w:tcMar>
              <w:top w:w="80" w:type="dxa"/>
              <w:bottom w:w="80" w:type="dxa"/>
              <w:left w:w="130" w:type="dxa"/>
              <w:right w:w="130" w:type="dxa"/>
            </w:tcMar>
          </w:tcPr>
          <w:p>
            <w:pPr>
              <w:jc w:val="center"/>
            </w:pPr>
            <w:r>
              <w:rPr>
                <w:rFonts w:ascii="Calibri" w:hAnsi="Calibri"/>
                <w:color w:val="333333"/>
                <w:sz w:val="20"/>
              </w:rPr>
              <w:t>-1</w:t>
            </w:r>
          </w:p>
        </w:tc>
        <w:tc>
          <w:tcPr>
            <w:tcW w:type="dxa" w:w="1872"/>
            <w:shd w:fill="EBF3FB"/>
            <w:tcMar>
              <w:top w:w="80" w:type="dxa"/>
              <w:bottom w:w="80" w:type="dxa"/>
              <w:left w:w="130" w:type="dxa"/>
              <w:right w:w="130" w:type="dxa"/>
            </w:tcMar>
          </w:tcPr>
          <w:p>
            <w:pPr>
              <w:jc w:val="center"/>
            </w:pPr>
            <w:r>
              <w:rPr>
                <w:rFonts w:ascii="Calibri" w:hAnsi="Calibri"/>
                <w:color w:val="333333"/>
                <w:sz w:val="20"/>
              </w:rPr>
              <w:t>-0.0551</w:t>
            </w:r>
          </w:p>
        </w:tc>
      </w:tr>
      <w:tr>
        <w:tc>
          <w:tcPr>
            <w:tcW w:type="dxa" w:w="1872"/>
            <w:shd w:fill="FFFFFF"/>
            <w:tcMar>
              <w:top w:w="80" w:type="dxa"/>
              <w:bottom w:w="80" w:type="dxa"/>
              <w:left w:w="130" w:type="dxa"/>
              <w:right w:w="130" w:type="dxa"/>
            </w:tcMar>
          </w:tcPr>
          <w:p>
            <w:pPr>
              <w:jc w:val="left"/>
            </w:pPr>
            <w:r>
              <w:rPr>
                <w:rFonts w:ascii="Calibri" w:hAnsi="Calibri"/>
                <w:color w:val="333333"/>
                <w:sz w:val="20"/>
              </w:rPr>
              <w:t>CAND_0018499</w:t>
            </w:r>
          </w:p>
        </w:tc>
        <w:tc>
          <w:tcPr>
            <w:tcW w:type="dxa" w:w="1872"/>
            <w:shd w:fill="FFFFFF"/>
            <w:tcMar>
              <w:top w:w="80" w:type="dxa"/>
              <w:bottom w:w="80" w:type="dxa"/>
              <w:left w:w="130" w:type="dxa"/>
              <w:right w:w="130" w:type="dxa"/>
            </w:tcMar>
          </w:tcPr>
          <w:p>
            <w:pPr>
              <w:jc w:val="center"/>
            </w:pPr>
            <w:r>
              <w:rPr>
                <w:rFonts w:ascii="Calibri" w:hAnsi="Calibri"/>
                <w:color w:val="333333"/>
                <w:sz w:val="20"/>
              </w:rPr>
              <w:t>&gt;100</w:t>
            </w:r>
          </w:p>
        </w:tc>
        <w:tc>
          <w:tcPr>
            <w:tcW w:type="dxa" w:w="1872"/>
            <w:shd w:fill="FFFFFF"/>
            <w:tcMar>
              <w:top w:w="80" w:type="dxa"/>
              <w:bottom w:w="80" w:type="dxa"/>
              <w:left w:w="130" w:type="dxa"/>
              <w:right w:w="130" w:type="dxa"/>
            </w:tcMar>
          </w:tcPr>
          <w:p>
            <w:pPr>
              <w:jc w:val="center"/>
            </w:pPr>
            <w:r>
              <w:rPr>
                <w:rFonts w:ascii="Calibri" w:hAnsi="Calibri"/>
                <w:color w:val="333333"/>
                <w:sz w:val="20"/>
              </w:rPr>
              <w:t>3</w:t>
            </w:r>
          </w:p>
        </w:tc>
        <w:tc>
          <w:tcPr>
            <w:tcW w:type="dxa" w:w="1872"/>
            <w:shd w:fill="FFFFFF"/>
            <w:tcMar>
              <w:top w:w="80" w:type="dxa"/>
              <w:bottom w:w="80" w:type="dxa"/>
              <w:left w:w="130" w:type="dxa"/>
              <w:right w:w="130" w:type="dxa"/>
            </w:tcMar>
          </w:tcPr>
          <w:p>
            <w:pPr>
              <w:jc w:val="center"/>
            </w:pPr>
            <w:r>
              <w:rPr>
                <w:rFonts w:ascii="Calibri" w:hAnsi="Calibri"/>
                <w:color w:val="333333"/>
                <w:sz w:val="20"/>
              </w:rPr>
              <w:t>Swap In</w:t>
            </w:r>
          </w:p>
        </w:tc>
        <w:tc>
          <w:tcPr>
            <w:tcW w:type="dxa" w:w="1872"/>
            <w:shd w:fill="FFFFFF"/>
            <w:tcMar>
              <w:top w:w="80" w:type="dxa"/>
              <w:bottom w:w="80" w:type="dxa"/>
              <w:left w:w="130" w:type="dxa"/>
              <w:right w:w="130" w:type="dxa"/>
            </w:tcMar>
          </w:tcPr>
          <w:p>
            <w:pPr>
              <w:jc w:val="center"/>
            </w:pPr>
            <w:r>
              <w:rPr>
                <w:rFonts w:ascii="Calibri" w:hAnsi="Calibri"/>
                <w:color w:val="333333"/>
                <w:sz w:val="20"/>
              </w:rPr>
              <w:t>+0.7735</w:t>
            </w:r>
          </w:p>
        </w:tc>
      </w:tr>
      <w:tr>
        <w:tc>
          <w:tcPr>
            <w:tcW w:type="dxa" w:w="1872"/>
            <w:shd w:fill="EBF3FB"/>
            <w:tcMar>
              <w:top w:w="80" w:type="dxa"/>
              <w:bottom w:w="80" w:type="dxa"/>
              <w:left w:w="130" w:type="dxa"/>
              <w:right w:w="130" w:type="dxa"/>
            </w:tcMar>
          </w:tcPr>
          <w:p>
            <w:pPr>
              <w:jc w:val="left"/>
            </w:pPr>
            <w:r>
              <w:rPr>
                <w:rFonts w:ascii="Calibri" w:hAnsi="Calibri"/>
                <w:color w:val="333333"/>
                <w:sz w:val="20"/>
              </w:rPr>
              <w:t>CAND_0042029</w:t>
            </w:r>
          </w:p>
        </w:tc>
        <w:tc>
          <w:tcPr>
            <w:tcW w:type="dxa" w:w="1872"/>
            <w:shd w:fill="EBF3FB"/>
            <w:tcMar>
              <w:top w:w="80" w:type="dxa"/>
              <w:bottom w:w="80" w:type="dxa"/>
              <w:left w:w="130" w:type="dxa"/>
              <w:right w:w="130" w:type="dxa"/>
            </w:tcMar>
          </w:tcPr>
          <w:p>
            <w:pPr>
              <w:jc w:val="center"/>
            </w:pPr>
            <w:r>
              <w:rPr>
                <w:rFonts w:ascii="Calibri" w:hAnsi="Calibri"/>
                <w:color w:val="333333"/>
                <w:sz w:val="20"/>
              </w:rPr>
              <w:t>5</w:t>
            </w:r>
          </w:p>
        </w:tc>
        <w:tc>
          <w:tcPr>
            <w:tcW w:type="dxa" w:w="1872"/>
            <w:shd w:fill="EBF3FB"/>
            <w:tcMar>
              <w:top w:w="80" w:type="dxa"/>
              <w:bottom w:w="80" w:type="dxa"/>
              <w:left w:w="130" w:type="dxa"/>
              <w:right w:w="130" w:type="dxa"/>
            </w:tcMar>
          </w:tcPr>
          <w:p>
            <w:pPr>
              <w:jc w:val="center"/>
            </w:pPr>
            <w:r>
              <w:rPr>
                <w:rFonts w:ascii="Calibri" w:hAnsi="Calibri"/>
                <w:color w:val="333333"/>
                <w:sz w:val="20"/>
              </w:rPr>
              <w:t>4</w:t>
            </w:r>
          </w:p>
        </w:tc>
        <w:tc>
          <w:tcPr>
            <w:tcW w:type="dxa" w:w="1872"/>
            <w:shd w:fill="EBF3FB"/>
            <w:tcMar>
              <w:top w:w="80" w:type="dxa"/>
              <w:bottom w:w="80" w:type="dxa"/>
              <w:left w:w="130" w:type="dxa"/>
              <w:right w:w="130" w:type="dxa"/>
            </w:tcMar>
          </w:tcPr>
          <w:p>
            <w:pPr>
              <w:jc w:val="center"/>
            </w:pPr>
            <w:r>
              <w:rPr>
                <w:rFonts w:ascii="Calibri" w:hAnsi="Calibri"/>
                <w:color w:val="333333"/>
                <w:sz w:val="20"/>
              </w:rPr>
              <w:t>+1</w:t>
            </w:r>
          </w:p>
        </w:tc>
        <w:tc>
          <w:tcPr>
            <w:tcW w:type="dxa" w:w="1872"/>
            <w:shd w:fill="EBF3FB"/>
            <w:tcMar>
              <w:top w:w="80" w:type="dxa"/>
              <w:bottom w:w="80" w:type="dxa"/>
              <w:left w:w="130" w:type="dxa"/>
              <w:right w:w="130" w:type="dxa"/>
            </w:tcMar>
          </w:tcPr>
          <w:p>
            <w:pPr>
              <w:jc w:val="center"/>
            </w:pPr>
            <w:r>
              <w:rPr>
                <w:rFonts w:ascii="Calibri" w:hAnsi="Calibri"/>
                <w:color w:val="333333"/>
                <w:sz w:val="20"/>
              </w:rPr>
              <w:t>+0.0525</w:t>
            </w:r>
          </w:p>
        </w:tc>
      </w:tr>
      <w:tr>
        <w:tc>
          <w:tcPr>
            <w:tcW w:type="dxa" w:w="1872"/>
            <w:shd w:fill="FFFFFF"/>
            <w:tcMar>
              <w:top w:w="80" w:type="dxa"/>
              <w:bottom w:w="80" w:type="dxa"/>
              <w:left w:w="130" w:type="dxa"/>
              <w:right w:w="130" w:type="dxa"/>
            </w:tcMar>
          </w:tcPr>
          <w:p>
            <w:pPr>
              <w:jc w:val="left"/>
            </w:pPr>
            <w:r>
              <w:rPr>
                <w:rFonts w:ascii="Calibri" w:hAnsi="Calibri"/>
                <w:color w:val="333333"/>
                <w:sz w:val="20"/>
              </w:rPr>
              <w:t>CAND_0050454</w:t>
            </w:r>
          </w:p>
        </w:tc>
        <w:tc>
          <w:tcPr>
            <w:tcW w:type="dxa" w:w="1872"/>
            <w:shd w:fill="FFFFFF"/>
            <w:tcMar>
              <w:top w:w="80" w:type="dxa"/>
              <w:bottom w:w="80" w:type="dxa"/>
              <w:left w:w="130" w:type="dxa"/>
              <w:right w:w="130" w:type="dxa"/>
            </w:tcMar>
          </w:tcPr>
          <w:p>
            <w:pPr>
              <w:jc w:val="center"/>
            </w:pPr>
            <w:r>
              <w:rPr>
                <w:rFonts w:ascii="Calibri" w:hAnsi="Calibri"/>
                <w:color w:val="333333"/>
                <w:sz w:val="20"/>
              </w:rPr>
              <w:t>4</w:t>
            </w:r>
          </w:p>
        </w:tc>
        <w:tc>
          <w:tcPr>
            <w:tcW w:type="dxa" w:w="1872"/>
            <w:shd w:fill="FFFFFF"/>
            <w:tcMar>
              <w:top w:w="80" w:type="dxa"/>
              <w:bottom w:w="80" w:type="dxa"/>
              <w:left w:w="130" w:type="dxa"/>
              <w:right w:w="130" w:type="dxa"/>
            </w:tcMar>
          </w:tcPr>
          <w:p>
            <w:pPr>
              <w:jc w:val="center"/>
            </w:pPr>
            <w:r>
              <w:rPr>
                <w:rFonts w:ascii="Calibri" w:hAnsi="Calibri"/>
                <w:color w:val="333333"/>
                <w:sz w:val="20"/>
              </w:rPr>
              <w:t>5</w:t>
            </w:r>
          </w:p>
        </w:tc>
        <w:tc>
          <w:tcPr>
            <w:tcW w:type="dxa" w:w="1872"/>
            <w:shd w:fill="FFFFFF"/>
            <w:tcMar>
              <w:top w:w="80" w:type="dxa"/>
              <w:bottom w:w="80" w:type="dxa"/>
              <w:left w:w="130" w:type="dxa"/>
              <w:right w:w="130" w:type="dxa"/>
            </w:tcMar>
          </w:tcPr>
          <w:p>
            <w:pPr>
              <w:jc w:val="center"/>
            </w:pPr>
            <w:r>
              <w:rPr>
                <w:rFonts w:ascii="Calibri" w:hAnsi="Calibri"/>
                <w:color w:val="333333"/>
                <w:sz w:val="20"/>
              </w:rPr>
              <w:t>-1</w:t>
            </w:r>
          </w:p>
        </w:tc>
        <w:tc>
          <w:tcPr>
            <w:tcW w:type="dxa" w:w="1872"/>
            <w:shd w:fill="FFFFFF"/>
            <w:tcMar>
              <w:top w:w="80" w:type="dxa"/>
              <w:bottom w:w="80" w:type="dxa"/>
              <w:left w:w="130" w:type="dxa"/>
              <w:right w:w="130" w:type="dxa"/>
            </w:tcMar>
          </w:tcPr>
          <w:p>
            <w:pPr>
              <w:jc w:val="center"/>
            </w:pPr>
            <w:r>
              <w:rPr>
                <w:rFonts w:ascii="Calibri" w:hAnsi="Calibri"/>
                <w:color w:val="333333"/>
                <w:sz w:val="20"/>
              </w:rPr>
              <w:t>-0.0123</w:t>
            </w:r>
          </w:p>
        </w:tc>
      </w:tr>
      <w:tr>
        <w:tc>
          <w:tcPr>
            <w:tcW w:type="dxa" w:w="1872"/>
            <w:shd w:fill="EBF3FB"/>
            <w:tcMar>
              <w:top w:w="80" w:type="dxa"/>
              <w:bottom w:w="80" w:type="dxa"/>
              <w:left w:w="130" w:type="dxa"/>
              <w:right w:w="130" w:type="dxa"/>
            </w:tcMar>
          </w:tcPr>
          <w:p>
            <w:pPr>
              <w:jc w:val="left"/>
            </w:pPr>
            <w:r>
              <w:rPr>
                <w:rFonts w:ascii="Calibri" w:hAnsi="Calibri"/>
                <w:color w:val="333333"/>
                <w:sz w:val="20"/>
              </w:rPr>
              <w:t>CAND_0041669</w:t>
            </w:r>
          </w:p>
        </w:tc>
        <w:tc>
          <w:tcPr>
            <w:tcW w:type="dxa" w:w="1872"/>
            <w:shd w:fill="EBF3FB"/>
            <w:tcMar>
              <w:top w:w="80" w:type="dxa"/>
              <w:bottom w:w="80" w:type="dxa"/>
              <w:left w:w="130" w:type="dxa"/>
              <w:right w:w="130" w:type="dxa"/>
            </w:tcMar>
          </w:tcPr>
          <w:p>
            <w:pPr>
              <w:jc w:val="center"/>
            </w:pPr>
            <w:r>
              <w:rPr>
                <w:rFonts w:ascii="Calibri" w:hAnsi="Calibri"/>
                <w:color w:val="333333"/>
                <w:sz w:val="20"/>
              </w:rPr>
              <w:t>6</w:t>
            </w:r>
          </w:p>
        </w:tc>
        <w:tc>
          <w:tcPr>
            <w:tcW w:type="dxa" w:w="1872"/>
            <w:shd w:fill="EBF3FB"/>
            <w:tcMar>
              <w:top w:w="80" w:type="dxa"/>
              <w:bottom w:w="80" w:type="dxa"/>
              <w:left w:w="130" w:type="dxa"/>
              <w:right w:w="130" w:type="dxa"/>
            </w:tcMar>
          </w:tcPr>
          <w:p>
            <w:pPr>
              <w:jc w:val="center"/>
            </w:pPr>
            <w:r>
              <w:rPr>
                <w:rFonts w:ascii="Calibri" w:hAnsi="Calibri"/>
                <w:color w:val="333333"/>
                <w:sz w:val="20"/>
              </w:rPr>
              <w:t>6</w:t>
            </w:r>
          </w:p>
        </w:tc>
        <w:tc>
          <w:tcPr>
            <w:tcW w:type="dxa" w:w="1872"/>
            <w:shd w:fill="EBF3FB"/>
            <w:tcMar>
              <w:top w:w="80" w:type="dxa"/>
              <w:bottom w:w="80" w:type="dxa"/>
              <w:left w:w="130" w:type="dxa"/>
              <w:right w:w="130" w:type="dxa"/>
            </w:tcMar>
          </w:tcPr>
          <w:p>
            <w:pPr>
              <w:jc w:val="center"/>
            </w:pPr>
            <w:r>
              <w:rPr>
                <w:rFonts w:ascii="Calibri" w:hAnsi="Calibri"/>
                <w:color w:val="333333"/>
                <w:sz w:val="20"/>
              </w:rPr>
              <w:t>0</w:t>
            </w:r>
          </w:p>
        </w:tc>
        <w:tc>
          <w:tcPr>
            <w:tcW w:type="dxa" w:w="1872"/>
            <w:shd w:fill="EBF3FB"/>
            <w:tcMar>
              <w:top w:w="80" w:type="dxa"/>
              <w:bottom w:w="80" w:type="dxa"/>
              <w:left w:w="130" w:type="dxa"/>
              <w:right w:w="130" w:type="dxa"/>
            </w:tcMar>
          </w:tcPr>
          <w:p>
            <w:pPr>
              <w:jc w:val="center"/>
            </w:pPr>
            <w:r>
              <w:rPr>
                <w:rFonts w:ascii="Calibri" w:hAnsi="Calibri"/>
                <w:color w:val="333333"/>
                <w:sz w:val="20"/>
              </w:rPr>
              <w:t>+0.0438</w:t>
            </w:r>
          </w:p>
        </w:tc>
      </w:tr>
      <w:tr>
        <w:tc>
          <w:tcPr>
            <w:tcW w:type="dxa" w:w="1872"/>
            <w:shd w:fill="FFFFFF"/>
            <w:tcMar>
              <w:top w:w="80" w:type="dxa"/>
              <w:bottom w:w="80" w:type="dxa"/>
              <w:left w:w="130" w:type="dxa"/>
              <w:right w:w="130" w:type="dxa"/>
            </w:tcMar>
          </w:tcPr>
          <w:p>
            <w:pPr>
              <w:jc w:val="left"/>
            </w:pPr>
            <w:r>
              <w:rPr>
                <w:rFonts w:ascii="Calibri" w:hAnsi="Calibri"/>
                <w:color w:val="333333"/>
                <w:sz w:val="20"/>
              </w:rPr>
              <w:t>CAND_0005649</w:t>
            </w:r>
          </w:p>
        </w:tc>
        <w:tc>
          <w:tcPr>
            <w:tcW w:type="dxa" w:w="1872"/>
            <w:shd w:fill="FFFFFF"/>
            <w:tcMar>
              <w:top w:w="80" w:type="dxa"/>
              <w:bottom w:w="80" w:type="dxa"/>
              <w:left w:w="130" w:type="dxa"/>
              <w:right w:w="130" w:type="dxa"/>
            </w:tcMar>
          </w:tcPr>
          <w:p>
            <w:pPr>
              <w:jc w:val="center"/>
            </w:pPr>
            <w:r>
              <w:rPr>
                <w:rFonts w:ascii="Calibri" w:hAnsi="Calibri"/>
                <w:color w:val="333333"/>
                <w:sz w:val="20"/>
              </w:rPr>
              <w:t>&gt;100</w:t>
            </w:r>
          </w:p>
        </w:tc>
        <w:tc>
          <w:tcPr>
            <w:tcW w:type="dxa" w:w="1872"/>
            <w:shd w:fill="FFFFFF"/>
            <w:tcMar>
              <w:top w:w="80" w:type="dxa"/>
              <w:bottom w:w="80" w:type="dxa"/>
              <w:left w:w="130" w:type="dxa"/>
              <w:right w:w="130" w:type="dxa"/>
            </w:tcMar>
          </w:tcPr>
          <w:p>
            <w:pPr>
              <w:jc w:val="center"/>
            </w:pPr>
            <w:r>
              <w:rPr>
                <w:rFonts w:ascii="Calibri" w:hAnsi="Calibri"/>
                <w:color w:val="333333"/>
                <w:sz w:val="20"/>
              </w:rPr>
              <w:t>7</w:t>
            </w:r>
          </w:p>
        </w:tc>
        <w:tc>
          <w:tcPr>
            <w:tcW w:type="dxa" w:w="1872"/>
            <w:shd w:fill="FFFFFF"/>
            <w:tcMar>
              <w:top w:w="80" w:type="dxa"/>
              <w:bottom w:w="80" w:type="dxa"/>
              <w:left w:w="130" w:type="dxa"/>
              <w:right w:w="130" w:type="dxa"/>
            </w:tcMar>
          </w:tcPr>
          <w:p>
            <w:pPr>
              <w:jc w:val="center"/>
            </w:pPr>
            <w:r>
              <w:rPr>
                <w:rFonts w:ascii="Calibri" w:hAnsi="Calibri"/>
                <w:color w:val="333333"/>
                <w:sz w:val="20"/>
              </w:rPr>
              <w:t>Swap In</w:t>
            </w:r>
          </w:p>
        </w:tc>
        <w:tc>
          <w:tcPr>
            <w:tcW w:type="dxa" w:w="1872"/>
            <w:shd w:fill="FFFFFF"/>
            <w:tcMar>
              <w:top w:w="80" w:type="dxa"/>
              <w:bottom w:w="80" w:type="dxa"/>
              <w:left w:w="130" w:type="dxa"/>
              <w:right w:w="130" w:type="dxa"/>
            </w:tcMar>
          </w:tcPr>
          <w:p>
            <w:pPr>
              <w:jc w:val="center"/>
            </w:pPr>
            <w:r>
              <w:rPr>
                <w:rFonts w:ascii="Calibri" w:hAnsi="Calibri"/>
                <w:color w:val="333333"/>
                <w:sz w:val="20"/>
              </w:rPr>
              <w:t>+0.5892</w:t>
            </w:r>
          </w:p>
        </w:tc>
      </w:tr>
      <w:tr>
        <w:tc>
          <w:tcPr>
            <w:tcW w:type="dxa" w:w="1872"/>
            <w:shd w:fill="EBF3FB"/>
            <w:tcMar>
              <w:top w:w="80" w:type="dxa"/>
              <w:bottom w:w="80" w:type="dxa"/>
              <w:left w:w="130" w:type="dxa"/>
              <w:right w:w="130" w:type="dxa"/>
            </w:tcMar>
          </w:tcPr>
          <w:p>
            <w:pPr>
              <w:jc w:val="left"/>
            </w:pPr>
            <w:r>
              <w:rPr>
                <w:rFonts w:ascii="Calibri" w:hAnsi="Calibri"/>
                <w:color w:val="333333"/>
                <w:sz w:val="20"/>
              </w:rPr>
              <w:t>CAND_0079064</w:t>
            </w:r>
          </w:p>
        </w:tc>
        <w:tc>
          <w:tcPr>
            <w:tcW w:type="dxa" w:w="1872"/>
            <w:shd w:fill="EBF3FB"/>
            <w:tcMar>
              <w:top w:w="80" w:type="dxa"/>
              <w:bottom w:w="80" w:type="dxa"/>
              <w:left w:w="130" w:type="dxa"/>
              <w:right w:w="130" w:type="dxa"/>
            </w:tcMar>
          </w:tcPr>
          <w:p>
            <w:pPr>
              <w:jc w:val="center"/>
            </w:pPr>
            <w:r>
              <w:rPr>
                <w:rFonts w:ascii="Calibri" w:hAnsi="Calibri"/>
                <w:color w:val="333333"/>
                <w:sz w:val="20"/>
              </w:rPr>
              <w:t>3</w:t>
            </w:r>
          </w:p>
        </w:tc>
        <w:tc>
          <w:tcPr>
            <w:tcW w:type="dxa" w:w="1872"/>
            <w:shd w:fill="EBF3FB"/>
            <w:tcMar>
              <w:top w:w="80" w:type="dxa"/>
              <w:bottom w:w="80" w:type="dxa"/>
              <w:left w:w="130" w:type="dxa"/>
              <w:right w:w="130" w:type="dxa"/>
            </w:tcMar>
          </w:tcPr>
          <w:p>
            <w:pPr>
              <w:jc w:val="center"/>
            </w:pPr>
            <w:r>
              <w:rPr>
                <w:rFonts w:ascii="Calibri" w:hAnsi="Calibri"/>
                <w:color w:val="333333"/>
                <w:sz w:val="20"/>
              </w:rPr>
              <w:t>8</w:t>
            </w:r>
          </w:p>
        </w:tc>
        <w:tc>
          <w:tcPr>
            <w:tcW w:type="dxa" w:w="1872"/>
            <w:shd w:fill="EBF3FB"/>
            <w:tcMar>
              <w:top w:w="80" w:type="dxa"/>
              <w:bottom w:w="80" w:type="dxa"/>
              <w:left w:w="130" w:type="dxa"/>
              <w:right w:w="130" w:type="dxa"/>
            </w:tcMar>
          </w:tcPr>
          <w:p>
            <w:pPr>
              <w:jc w:val="center"/>
            </w:pPr>
            <w:r>
              <w:rPr>
                <w:rFonts w:ascii="Calibri" w:hAnsi="Calibri"/>
                <w:color w:val="333333"/>
                <w:sz w:val="20"/>
              </w:rPr>
              <w:t>-5</w:t>
            </w:r>
          </w:p>
        </w:tc>
        <w:tc>
          <w:tcPr>
            <w:tcW w:type="dxa" w:w="1872"/>
            <w:shd w:fill="EBF3FB"/>
            <w:tcMar>
              <w:top w:w="80" w:type="dxa"/>
              <w:bottom w:w="80" w:type="dxa"/>
              <w:left w:w="130" w:type="dxa"/>
              <w:right w:w="130" w:type="dxa"/>
            </w:tcMar>
          </w:tcPr>
          <w:p>
            <w:pPr>
              <w:jc w:val="center"/>
            </w:pPr>
            <w:r>
              <w:rPr>
                <w:rFonts w:ascii="Calibri" w:hAnsi="Calibri"/>
                <w:color w:val="333333"/>
                <w:sz w:val="20"/>
              </w:rPr>
              <w:t>-0.1092</w:t>
            </w:r>
          </w:p>
        </w:tc>
      </w:tr>
      <w:tr>
        <w:tc>
          <w:tcPr>
            <w:tcW w:type="dxa" w:w="1872"/>
            <w:shd w:fill="FFFFFF"/>
            <w:tcMar>
              <w:top w:w="80" w:type="dxa"/>
              <w:bottom w:w="80" w:type="dxa"/>
              <w:left w:w="130" w:type="dxa"/>
              <w:right w:w="130" w:type="dxa"/>
            </w:tcMar>
          </w:tcPr>
          <w:p>
            <w:pPr>
              <w:jc w:val="left"/>
            </w:pPr>
            <w:r>
              <w:rPr>
                <w:rFonts w:ascii="Calibri" w:hAnsi="Calibri"/>
                <w:color w:val="333333"/>
                <w:sz w:val="20"/>
              </w:rPr>
              <w:t>CAND_0017960</w:t>
            </w:r>
          </w:p>
        </w:tc>
        <w:tc>
          <w:tcPr>
            <w:tcW w:type="dxa" w:w="1872"/>
            <w:shd w:fill="FFFFFF"/>
            <w:tcMar>
              <w:top w:w="80" w:type="dxa"/>
              <w:bottom w:w="80" w:type="dxa"/>
              <w:left w:w="130" w:type="dxa"/>
              <w:right w:w="130" w:type="dxa"/>
            </w:tcMar>
          </w:tcPr>
          <w:p>
            <w:pPr>
              <w:jc w:val="center"/>
            </w:pPr>
            <w:r>
              <w:rPr>
                <w:rFonts w:ascii="Calibri" w:hAnsi="Calibri"/>
                <w:color w:val="333333"/>
                <w:sz w:val="20"/>
              </w:rPr>
              <w:t>7</w:t>
            </w:r>
          </w:p>
        </w:tc>
        <w:tc>
          <w:tcPr>
            <w:tcW w:type="dxa" w:w="1872"/>
            <w:shd w:fill="FFFFFF"/>
            <w:tcMar>
              <w:top w:w="80" w:type="dxa"/>
              <w:bottom w:w="80" w:type="dxa"/>
              <w:left w:w="130" w:type="dxa"/>
              <w:right w:w="130" w:type="dxa"/>
            </w:tcMar>
          </w:tcPr>
          <w:p>
            <w:pPr>
              <w:jc w:val="center"/>
            </w:pPr>
            <w:r>
              <w:rPr>
                <w:rFonts w:ascii="Calibri" w:hAnsi="Calibri"/>
                <w:color w:val="333333"/>
                <w:sz w:val="20"/>
              </w:rPr>
              <w:t>9</w:t>
            </w:r>
          </w:p>
        </w:tc>
        <w:tc>
          <w:tcPr>
            <w:tcW w:type="dxa" w:w="1872"/>
            <w:shd w:fill="FFFFFF"/>
            <w:tcMar>
              <w:top w:w="80" w:type="dxa"/>
              <w:bottom w:w="80" w:type="dxa"/>
              <w:left w:w="130" w:type="dxa"/>
              <w:right w:w="130" w:type="dxa"/>
            </w:tcMar>
          </w:tcPr>
          <w:p>
            <w:pPr>
              <w:jc w:val="center"/>
            </w:pPr>
            <w:r>
              <w:rPr>
                <w:rFonts w:ascii="Calibri" w:hAnsi="Calibri"/>
                <w:color w:val="333333"/>
                <w:sz w:val="20"/>
              </w:rPr>
              <w:t>-2</w:t>
            </w:r>
          </w:p>
        </w:tc>
        <w:tc>
          <w:tcPr>
            <w:tcW w:type="dxa" w:w="1872"/>
            <w:shd w:fill="FFFFFF"/>
            <w:tcMar>
              <w:top w:w="80" w:type="dxa"/>
              <w:bottom w:w="80" w:type="dxa"/>
              <w:left w:w="130" w:type="dxa"/>
              <w:right w:w="130" w:type="dxa"/>
            </w:tcMar>
          </w:tcPr>
          <w:p>
            <w:pPr>
              <w:jc w:val="center"/>
            </w:pPr>
            <w:r>
              <w:rPr>
                <w:rFonts w:ascii="Calibri" w:hAnsi="Calibri"/>
                <w:color w:val="333333"/>
                <w:sz w:val="20"/>
              </w:rPr>
              <w:t>-0.0288</w:t>
            </w:r>
          </w:p>
        </w:tc>
      </w:tr>
      <w:tr>
        <w:tc>
          <w:tcPr>
            <w:tcW w:type="dxa" w:w="1872"/>
            <w:shd w:fill="EBF3FB"/>
            <w:tcMar>
              <w:top w:w="80" w:type="dxa"/>
              <w:bottom w:w="80" w:type="dxa"/>
              <w:left w:w="130" w:type="dxa"/>
              <w:right w:w="130" w:type="dxa"/>
            </w:tcMar>
          </w:tcPr>
          <w:p>
            <w:pPr>
              <w:jc w:val="left"/>
            </w:pPr>
            <w:r>
              <w:rPr>
                <w:rFonts w:ascii="Calibri" w:hAnsi="Calibri"/>
                <w:color w:val="333333"/>
                <w:sz w:val="20"/>
              </w:rPr>
              <w:t>CAND_0012957</w:t>
            </w:r>
          </w:p>
        </w:tc>
        <w:tc>
          <w:tcPr>
            <w:tcW w:type="dxa" w:w="1872"/>
            <w:shd w:fill="EBF3FB"/>
            <w:tcMar>
              <w:top w:w="80" w:type="dxa"/>
              <w:bottom w:w="80" w:type="dxa"/>
              <w:left w:w="130" w:type="dxa"/>
              <w:right w:w="130" w:type="dxa"/>
            </w:tcMar>
          </w:tcPr>
          <w:p>
            <w:pPr>
              <w:jc w:val="center"/>
            </w:pPr>
            <w:r>
              <w:rPr>
                <w:rFonts w:ascii="Calibri" w:hAnsi="Calibri"/>
                <w:color w:val="333333"/>
                <w:sz w:val="20"/>
              </w:rPr>
              <w:t>15</w:t>
            </w:r>
          </w:p>
        </w:tc>
        <w:tc>
          <w:tcPr>
            <w:tcW w:type="dxa" w:w="1872"/>
            <w:shd w:fill="EBF3FB"/>
            <w:tcMar>
              <w:top w:w="80" w:type="dxa"/>
              <w:bottom w:w="80" w:type="dxa"/>
              <w:left w:w="130" w:type="dxa"/>
              <w:right w:w="130" w:type="dxa"/>
            </w:tcMar>
          </w:tcPr>
          <w:p>
            <w:pPr>
              <w:jc w:val="center"/>
            </w:pPr>
            <w:r>
              <w:rPr>
                <w:rFonts w:ascii="Calibri" w:hAnsi="Calibri"/>
                <w:color w:val="333333"/>
                <w:sz w:val="20"/>
              </w:rPr>
              <w:t>10</w:t>
            </w:r>
          </w:p>
        </w:tc>
        <w:tc>
          <w:tcPr>
            <w:tcW w:type="dxa" w:w="1872"/>
            <w:shd w:fill="EBF3FB"/>
            <w:tcMar>
              <w:top w:w="80" w:type="dxa"/>
              <w:bottom w:w="80" w:type="dxa"/>
              <w:left w:w="130" w:type="dxa"/>
              <w:right w:w="130" w:type="dxa"/>
            </w:tcMar>
          </w:tcPr>
          <w:p>
            <w:pPr>
              <w:jc w:val="center"/>
            </w:pPr>
            <w:r>
              <w:rPr>
                <w:rFonts w:ascii="Calibri" w:hAnsi="Calibri"/>
                <w:color w:val="333333"/>
                <w:sz w:val="20"/>
              </w:rPr>
              <w:t>+5</w:t>
            </w:r>
          </w:p>
        </w:tc>
        <w:tc>
          <w:tcPr>
            <w:tcW w:type="dxa" w:w="1872"/>
            <w:shd w:fill="EBF3FB"/>
            <w:tcMar>
              <w:top w:w="80" w:type="dxa"/>
              <w:bottom w:w="80" w:type="dxa"/>
              <w:left w:w="130" w:type="dxa"/>
              <w:right w:w="130" w:type="dxa"/>
            </w:tcMar>
          </w:tcPr>
          <w:p>
            <w:pPr>
              <w:jc w:val="center"/>
            </w:pPr>
            <w:r>
              <w:rPr>
                <w:rFonts w:ascii="Calibri" w:hAnsi="Calibri"/>
                <w:color w:val="333333"/>
                <w:sz w:val="20"/>
              </w:rPr>
              <w:t>+0.0442</w:t>
            </w:r>
          </w:p>
        </w:tc>
      </w:tr>
    </w:tbl>
    <w:p>
      <w:pPr>
        <w:pStyle w:val="Heading2"/>
        <w:spacing w:before="200" w:after="60"/>
      </w:pPr>
      <w:r>
        <w:rPr>
          <w:rFonts w:ascii="Calibri" w:hAnsi="Calibri"/>
          <w:b/>
          <w:color w:val="0070C0"/>
          <w:sz w:val="26"/>
        </w:rPr>
        <w:t>4.2 Notable Candidate Swaps</w:t>
      </w:r>
    </w:p>
    <w:p>
      <w:pPr>
        <w:spacing w:after="100"/>
      </w:pPr>
      <w:r>
        <w:rPr>
          <w:rFonts w:ascii="Calibri" w:hAnsi="Calibri"/>
          <w:color w:val="333333"/>
          <w:sz w:val="22"/>
        </w:rPr>
        <w:t>Aarav Trivedi (CAND_0018499) and Riya Kapoor (CAND_0005649) both represent outstanding technical fit: Aarav has 7.2y experience spanning Zomato, Google, and Flipkart, and a 15-day notice period. Riya has 7.4y experience spanning Sarvam AI and Amazon. However, both have moderate recruiter response rates (~60%). In Stage 2, the old calibration's multiple multipliers compounded, dropping them completely out of the Top 100. In Stage 3, the simplified logic protected them, allowing their top-tier technical skills to carry them directly to Rank 3 and 7.</w:t>
      </w:r>
    </w:p>
    <w:p>
      <w:pPr>
        <w:spacing w:after="100"/>
      </w:pPr>
      <w:r>
        <w:rPr>
          <w:rFonts w:ascii="Calibri" w:hAnsi="Calibri"/>
          <w:color w:val="333333"/>
          <w:sz w:val="22"/>
        </w:rPr>
        <w:t>Conversely, Sai Saxena (CAND_0079064) dropped from Rank 3 to Rank 8. While technically outstanding, Sai has a 120-day notice period, which triggered our new operational penalty (0.92), prioritizing candidates who can onboard faster.</w:t>
      </w:r>
    </w:p>
    <w:p>
      <w:pPr>
        <w:pStyle w:val="Heading1"/>
        <w:spacing w:before="320" w:after="80"/>
      </w:pPr>
      <w:r>
        <w:rPr>
          <w:rFonts w:ascii="Georgia" w:hAnsi="Georgia"/>
          <w:b/>
          <w:color w:val="1F4E79"/>
          <w:sz w:val="34"/>
        </w:rPr>
        <w:t>5. Final Shortlist &amp; Reasoning Samples</w:t>
      </w:r>
    </w:p>
    <w:p>
      <w:pPr>
        <w:spacing w:after="100"/>
      </w:pPr>
      <w:r>
        <w:rPr>
          <w:rFonts w:ascii="Calibri" w:hAnsi="Calibri"/>
          <w:color w:val="333333"/>
          <w:sz w:val="22"/>
        </w:rPr>
        <w:t>The final submission has been fully validated against the challenge rules, achieving zero errors and warnings. Below are the detailed reasoning samples for the Top 5 candidates, illustrating specific JD connections and profile facts:</w:t>
      </w:r>
    </w:p>
    <w:p>
      <w:pPr>
        <w:spacing w:before="120" w:after="60"/>
      </w:pPr>
      <w:r>
        <w:rPr>
          <w:rFonts w:ascii="Calibri" w:hAnsi="Calibri"/>
          <w:b/>
          <w:color w:val="1F4E79"/>
          <w:sz w:val="22"/>
        </w:rPr>
        <w:t>CAND_0005260 (Rank 1)</w:t>
        <w:br/>
      </w:r>
      <w:r>
        <w:rPr>
          <w:rFonts w:ascii="Calibri" w:hAnsi="Calibri"/>
          <w:i/>
          <w:color w:val="333333"/>
          <w:sz w:val="20"/>
        </w:rPr>
        <w:t>Leads the shortlist ahead of CAND_0046525 due to stronger RAG-specific experience, coupled with stronger behavioral engagement profile, despite less explicit Elasticsearch hybrid-search experience and Qdrant retrieval experience, along with lower GitHub activity (0 vs 37). They maintain a solid 86% recruiter response rate throughout their platform activity and light application activity (6 applications this month), with market validation signals including 11 recruiter saves, 331 recruiter views, 1154 search appearances, alongside an efficient recruiter cadence (47h average). This Senior NLP Engineer at Netflix has a track record that includes a notable tenure at Yellow.ai, signaling strong domain continuity, and large-company operating experience (10001+). With 5.2 years of experience, they have developed hands-on technical depth matching our requirements, demonstrating specific experience with retrieval-augmented generation (RAG) pipelines, coupled with Transformer-based model deployment. They are available within a standard 60-day notice period and align well with the team's operational timeline.</w:t>
      </w:r>
    </w:p>
    <w:p>
      <w:pPr>
        <w:spacing w:before="120" w:after="60"/>
      </w:pPr>
      <w:r>
        <w:rPr>
          <w:rFonts w:ascii="Calibri" w:hAnsi="Calibri"/>
          <w:b/>
          <w:color w:val="1F4E79"/>
          <w:sz w:val="22"/>
        </w:rPr>
        <w:t>CAND_0046525 (Rank 2)</w:t>
        <w:br/>
      </w:r>
      <w:r>
        <w:rPr>
          <w:rFonts w:ascii="Calibri" w:hAnsi="Calibri"/>
          <w:i/>
          <w:color w:val="333333"/>
          <w:sz w:val="20"/>
        </w:rPr>
        <w:t>Ranked ahead of CAND_0018499 driven by stronger Elasticsearch hybrid-search experience and Qdrant retrieval experience, coupled with higher recruiter response rate (88% vs 61%), despite less explicit Milvus vector-search experience and Pinecone hosting experience, along with lower GitHub activity (37 vs 95). Their profile highlights a moderate public contribution profile (GitHub: 37/100) along with a solid 88% recruiter response rate and active job-seeking intent (open to work, 7 applications), with market validation signals including 38 recruiter saves, 108 recruiter views, 663 search appearances, alongside very quick recruiter follow-up (12h average). With 6.1 years of experience, they have developed hands-on technical depth matching our requirements, demonstrating specific experience with Elasticsearch for hybrid keyword search and Qdrant for vector retrieval, plus Transformer-based model deployment. Based on their career arc from LinkedIn to Genpact AI, this Senior Machine Learning Engineer has accumulated meaningful industry exposure, and large-company operating experience (10001+). They are available within a standard 60-day notice period and align well with the team's operational timeline.</w:t>
      </w:r>
    </w:p>
    <w:p>
      <w:pPr>
        <w:spacing w:before="120" w:after="60"/>
      </w:pPr>
      <w:r>
        <w:rPr>
          <w:rFonts w:ascii="Calibri" w:hAnsi="Calibri"/>
          <w:b/>
          <w:color w:val="1F4E79"/>
          <w:sz w:val="22"/>
        </w:rPr>
        <w:t>CAND_0018499 (Rank 3)</w:t>
        <w:br/>
      </w:r>
      <w:r>
        <w:rPr>
          <w:rFonts w:ascii="Calibri" w:hAnsi="Calibri"/>
          <w:i/>
          <w:color w:val="333333"/>
          <w:sz w:val="20"/>
        </w:rPr>
        <w:t>Placed above CAND_0042029 in the list primarily owing to stronger Milvus vector-search experience and Pinecone hosting experience, coupled with shorter notice period (15 vs 45 days), even with less explicit Elasticsearch hybrid-search experience and PyTorch depth, along with lower response rate (61% vs 67%). Their profile highlights a highly active open-source portfolio (GitHub: 95/100) along with a limited 61% recruiter response rate and clear active-search intent (18 applications and open to work), with market validation signals including 16 recruiter saves, 75 recruiter views, 1291 search appearances, alongside a standard recruiter response window (60h average). Recruited from Google, they now operate as a Senior Machine Learning Engineer at Zomato, bringing cross-company perspective to the role, and large-company operating experience (5001-10000). With 7.2 years of experience, they have developed hands-on technical depth matching our requirements, demonstrating specific experience with Milvus for high-dimensional vector search and Pinecone vector database hosting, plus retrieval-augmented generation (RAG) pipelines. Given their short 15-day notice period, they are available to onboard quickly and represent a high-value, low-risk hire.</w:t>
      </w:r>
    </w:p>
    <w:p>
      <w:pPr>
        <w:spacing w:before="120" w:after="60"/>
      </w:pPr>
      <w:r>
        <w:rPr>
          <w:rFonts w:ascii="Calibri" w:hAnsi="Calibri"/>
          <w:b/>
          <w:color w:val="1F4E79"/>
          <w:sz w:val="22"/>
        </w:rPr>
        <w:t>CAND_0042029 (Rank 4)</w:t>
        <w:br/>
      </w:r>
      <w:r>
        <w:rPr>
          <w:rFonts w:ascii="Calibri" w:hAnsi="Calibri"/>
          <w:i/>
          <w:color w:val="333333"/>
          <w:sz w:val="20"/>
        </w:rPr>
        <w:t>Ranked above CAND_0050454 due to stronger Elasticsearch hybrid-search experience and RAG-specific experience, coupled with stronger GitHub activity (79 vs 0), despite less explicit Faiss similarity-search experience and Qdrant retrieval experience, along with lower response rate (67% vs 77%). With a career that spans Observe.AI and now Flipkart, this individual operates at the level of a seasoned Senior Data Scientist, and large-company operating experience (10001+). With 6.5 years of experience, they have developed hands-on technical depth matching our requirements, demonstrating specific experience with Elasticsearch for hybrid keyword search and PyTorch-based model training, plus retrieval-augmented generation (RAG) pipelines. They maintain inconsistent platform responsiveness (67% response rate) and demonstrate a strong coding contribution profile (GitHub: 79/100) and light application activity (7 applications this month), with market validation signals including 16 recruiter saves, 84 recruiter views, 209 search appearances, alongside an exceptionally fast recruiter response time (21h average). They are available within a standard 45-day notice period and align well with the team's operational timeline.</w:t>
      </w:r>
    </w:p>
    <w:p>
      <w:pPr>
        <w:spacing w:before="120" w:after="60"/>
      </w:pPr>
      <w:r>
        <w:rPr>
          <w:rFonts w:ascii="Calibri" w:hAnsi="Calibri"/>
          <w:b/>
          <w:color w:val="1F4E79"/>
          <w:sz w:val="22"/>
        </w:rPr>
        <w:t>CAND_0050454 (Rank 5)</w:t>
        <w:br/>
      </w:r>
      <w:r>
        <w:rPr>
          <w:rFonts w:ascii="Calibri" w:hAnsi="Calibri"/>
          <w:i/>
          <w:color w:val="333333"/>
          <w:sz w:val="20"/>
        </w:rPr>
        <w:t>Positioned ahead of CAND_0041669 on the basis of stronger PyTorch depth, coupled with shorter notice period (30 vs 60 days), regardless of less explicit Milvus vector-search experience, along with lower GitHub activity (0 vs 71). With 6.8 years of experience, they have developed hands-on technical depth matching our requirements, demonstrating specific experience with Faiss for dense similarity search and PyTorch-based model training, plus Qdrant for vector retrieval. Platform metrics indicate fair platform communication (77% response rate) and clear active-search intent (17 applications and open to work), with market validation signals including 30 recruiter saves, 85 recruiter views, 248 search appearances, alongside prompt recruiter follow-up (32h average). A AI Engineer at Rephrase.ai, they previously built their expertise at Adobe before taking on their current role, and small-company operating experience (11-50). Given their short 30-day notice period, they are available to onboard quickly and represent a high-value, low-risk hire.</w:t>
      </w:r>
    </w:p>
    <w:p/>
    <w:p>
      <w:pPr>
        <w:pBdr>
          <w:bottom w:val="single" w:sz="4" w:space="1" w:color="1F4E79"/>
        </w:pBdr>
        <w:spacing w:after="160"/>
      </w:pPr>
    </w:p>
    <w:p>
      <w:pPr>
        <w:jc w:val="center"/>
      </w:pPr>
      <w:r>
        <w:rPr>
          <w:rFonts w:ascii="Calibri" w:hAnsi="Calibri"/>
          <w:i/>
          <w:color w:val="595959"/>
          <w:sz w:val="18"/>
        </w:rPr>
        <w:t>Redrob Intelligent Candidate Discovery &amp; Ranking Challenge  |  Team 204  |  June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